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«Внимание, тендер!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Тендерная комиссия Министерства по социальной защите и груду ПМР объявляет о повторном проведении ведомственного тендера по объекту «Приобретение оборудования, мебели и оргтехники для ГУ «Республиканский спортивный реабилитационно-восстановительный центр инвалидов», расположенного по адресу: г. Тирасполь, ул. Ленина, 1/3» за счет средств предусмотренных Сметой расходов Фонда капитальных вложений на 2020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позициям: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sz w:val="24"/>
          <w:szCs w:val="24"/>
        </w:rPr>
        <w:t>мячи для голбола»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«табло перекидное»,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sz w:val="24"/>
          <w:szCs w:val="24"/>
        </w:rPr>
        <w:t>весы спортивные»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sz w:val="24"/>
          <w:szCs w:val="24"/>
        </w:rPr>
        <w:t>сетка защитная (заградительная) на окна»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sz w:val="24"/>
          <w:szCs w:val="24"/>
        </w:rPr>
        <w:t>игра бочча для инвалидов»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sz w:val="24"/>
          <w:szCs w:val="24"/>
        </w:rPr>
        <w:t>гантели сборные»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sz w:val="24"/>
          <w:szCs w:val="24"/>
        </w:rPr>
        <w:t>массажный стол»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ворота для голбола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«стойки волейбольные»,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«щит баскетбольный»;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eastAsia="Calibri" w:hAnsi="Times New Roman" w:cs="Times New Roman"/>
          <w:sz w:val="24"/>
          <w:szCs w:val="24"/>
        </w:rPr>
        <w:t>сушка для рук»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>
        <w:rPr>
          <w:rFonts w:ascii="Times New Roman" w:hAnsi="Times New Roman" w:cs="Times New Roman"/>
          <w:sz w:val="24"/>
          <w:szCs w:val="24"/>
        </w:rPr>
        <w:t>сушка для волос»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мощность 2450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Потенциальным поставщикам </w:t>
      </w:r>
      <w:r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>в срок до 18 сентября 2020 года</w:t>
      </w: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включительно необходимо представить коммерческие предложения по адресу: г. Тирасполь, ул. 25 Октября 114, телефон для справок (533) 8-06-35. 8-16-97.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С подробными характеристиками приобретаемого оборудования можно ознакомиться на официальном сайге Министерства по социальной защите и труду ПМР во вкладке «Внимание! Тендер» http://minsoctrud.gospmr.org/vnimanie_tender/.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В коммерческом предложении должно быть указано: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- полное наименование хозяйствующего субъекта, его адрес, контактный номер телефона. Ф.И.О. руководителя или уполномоченного представителя;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- краткие технические характеристики и возможный объём (минимальное количество) поставки предмета тендера, возможность сервисного обслуживания (наличие сервисного центра);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- наличие сертификата соответствия, удостоверения качества, лицензии на сервисное обслуживание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 (с обязательным приложением копий вышеназванных документов):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- условия и срок поставки предмета тендера;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>- условия оплаты (предоплаты, оплата по факту или отсрочка платежа);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- цена за единицу предмета тендера в рублях ПМР. </w:t>
      </w:r>
    </w:p>
    <w:p w:rsidR="001717C5" w:rsidRDefault="001717C5" w:rsidP="001717C5">
      <w:pPr>
        <w:spacing w:before="20" w:after="20" w:line="240" w:lineRule="auto"/>
        <w:ind w:firstLine="567"/>
        <w:jc w:val="both"/>
        <w:rPr>
          <w:rFonts w:ascii="Times New Roman" w:eastAsia="Lucida Sans Unicode" w:hAnsi="Times New Roman" w:cs="Times New Roman"/>
          <w:spacing w:val="-3"/>
          <w:sz w:val="24"/>
          <w:szCs w:val="24"/>
        </w:rPr>
      </w:pP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Тендер </w:t>
      </w:r>
      <w:r>
        <w:rPr>
          <w:rFonts w:ascii="Times New Roman" w:eastAsia="Lucida Sans Unicode" w:hAnsi="Times New Roman" w:cs="Times New Roman"/>
          <w:b/>
          <w:spacing w:val="-3"/>
          <w:sz w:val="24"/>
          <w:szCs w:val="24"/>
        </w:rPr>
        <w:t>состоится 22 сентября 2020 года в 10 часов 00 минут</w:t>
      </w:r>
      <w:r>
        <w:rPr>
          <w:rFonts w:ascii="Times New Roman" w:eastAsia="Lucida Sans Unicode" w:hAnsi="Times New Roman" w:cs="Times New Roman"/>
          <w:spacing w:val="-3"/>
          <w:sz w:val="24"/>
          <w:szCs w:val="24"/>
        </w:rPr>
        <w:t xml:space="preserve"> по адресу: г. Тирасполь, ул. 25 Октября, 114, кабинет № 312».</w:t>
      </w:r>
    </w:p>
    <w:p w:rsidR="00777C84" w:rsidRDefault="00777C84">
      <w:bookmarkStart w:id="0" w:name="_GoBack"/>
      <w:bookmarkEnd w:id="0"/>
    </w:p>
    <w:sectPr w:rsidR="0077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8D"/>
    <w:rsid w:val="001717C5"/>
    <w:rsid w:val="00777C84"/>
    <w:rsid w:val="00C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A8C9-65B2-4992-9BC3-83EBE965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2</cp:revision>
  <dcterms:created xsi:type="dcterms:W3CDTF">2020-09-09T07:19:00Z</dcterms:created>
  <dcterms:modified xsi:type="dcterms:W3CDTF">2020-09-09T07:20:00Z</dcterms:modified>
</cp:coreProperties>
</file>