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20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D4" w:rsidRDefault="00932AD4" w:rsidP="00966745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60922" w:rsidRDefault="00160922" w:rsidP="00966745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60922" w:rsidRPr="0024321B" w:rsidRDefault="00160922" w:rsidP="00160922">
      <w:pPr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</w:t>
      </w:r>
      <w:r w:rsidRPr="0024321B">
        <w:rPr>
          <w:rFonts w:ascii="Times New Roman" w:hAnsi="Times New Roman" w:cs="Times New Roman"/>
          <w:sz w:val="24"/>
          <w:szCs w:val="24"/>
        </w:rPr>
        <w:t>!</w:t>
      </w:r>
    </w:p>
    <w:p w:rsidR="00160922" w:rsidRPr="00002AA8" w:rsidRDefault="00160922" w:rsidP="00160922">
      <w:p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0922" w:rsidRPr="00002AA8" w:rsidRDefault="00160922" w:rsidP="0019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AA8">
        <w:rPr>
          <w:rFonts w:ascii="Times New Roman" w:hAnsi="Times New Roman" w:cs="Times New Roman"/>
          <w:sz w:val="24"/>
          <w:szCs w:val="24"/>
        </w:rPr>
        <w:t>Сегодня мы подводим итоги  работы за 2014 год.</w:t>
      </w:r>
    </w:p>
    <w:p w:rsidR="00E65F62" w:rsidRDefault="0019536A" w:rsidP="0019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государственный фонд социального страхования ПМР (далее - Фонд)</w:t>
      </w:r>
      <w:r w:rsidR="00160922" w:rsidRPr="00002AA8">
        <w:rPr>
          <w:rFonts w:ascii="Times New Roman" w:hAnsi="Times New Roman" w:cs="Times New Roman"/>
          <w:sz w:val="24"/>
          <w:szCs w:val="24"/>
        </w:rPr>
        <w:t xml:space="preserve">  осуществляет свою деятельность  на основании  Закона Приднестровской Молдавской Республики «О Едином государственном фонде социального страхования Приднест</w:t>
      </w:r>
      <w:r w:rsidR="00847866">
        <w:rPr>
          <w:rFonts w:ascii="Times New Roman" w:hAnsi="Times New Roman" w:cs="Times New Roman"/>
          <w:sz w:val="24"/>
          <w:szCs w:val="24"/>
        </w:rPr>
        <w:t>ровской Молдавской  Республики».</w:t>
      </w:r>
    </w:p>
    <w:p w:rsidR="00847866" w:rsidRDefault="0019536A" w:rsidP="0019536A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Фонд</w:t>
      </w:r>
      <w:r w:rsidR="00E65F62" w:rsidRPr="00E65F62">
        <w:rPr>
          <w:rFonts w:ascii="Times New Roman" w:eastAsia="Calibri" w:hAnsi="Times New Roman" w:cs="Times New Roman"/>
          <w:sz w:val="24"/>
          <w:szCs w:val="24"/>
        </w:rPr>
        <w:t xml:space="preserve"> образовался с 01.01.2013 года путем объединения пенсионного  фонда, фонда занятости, фонда социального страхования, фонда материнства и детства. Объединение  было  произведено с целью  упрощения  процедуры  назначения  социальных  выплат: пенсий, пособий, компенсаций. </w:t>
      </w:r>
    </w:p>
    <w:p w:rsidR="00E65F62" w:rsidRPr="00B86A43" w:rsidRDefault="00160922" w:rsidP="0019536A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8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19536A">
        <w:rPr>
          <w:rFonts w:ascii="Times New Roman" w:hAnsi="Times New Roman" w:cs="Times New Roman"/>
          <w:sz w:val="24"/>
          <w:szCs w:val="24"/>
        </w:rPr>
        <w:t>Фонда</w:t>
      </w:r>
      <w:r w:rsidRPr="00002AA8">
        <w:rPr>
          <w:rFonts w:ascii="Times New Roman" w:hAnsi="Times New Roman" w:cs="Times New Roman"/>
          <w:sz w:val="24"/>
          <w:szCs w:val="24"/>
        </w:rPr>
        <w:t xml:space="preserve">  входят: исполнительная дирекция </w:t>
      </w:r>
      <w:r w:rsidR="0019536A">
        <w:rPr>
          <w:rFonts w:ascii="Times New Roman" w:hAnsi="Times New Roman" w:cs="Times New Roman"/>
          <w:sz w:val="24"/>
          <w:szCs w:val="24"/>
        </w:rPr>
        <w:t>Фонда</w:t>
      </w:r>
      <w:r w:rsidRPr="00002AA8">
        <w:rPr>
          <w:rFonts w:ascii="Times New Roman" w:hAnsi="Times New Roman" w:cs="Times New Roman"/>
          <w:sz w:val="24"/>
          <w:szCs w:val="24"/>
        </w:rPr>
        <w:t xml:space="preserve"> , 7 территориальных  Центров  социального страхования и социальной защиты.</w:t>
      </w:r>
    </w:p>
    <w:p w:rsidR="00847866" w:rsidRDefault="00B86A43" w:rsidP="0019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Штатная ч</w:t>
      </w:r>
      <w:r w:rsidR="0019536A">
        <w:rPr>
          <w:rFonts w:ascii="Times New Roman" w:hAnsi="Times New Roman" w:cs="Times New Roman"/>
          <w:sz w:val="24"/>
          <w:szCs w:val="24"/>
        </w:rPr>
        <w:t>исленность Фонда составляет 508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D12DD">
        <w:rPr>
          <w:rFonts w:ascii="Times New Roman" w:hAnsi="Times New Roman" w:cs="Times New Roman"/>
          <w:sz w:val="24"/>
          <w:szCs w:val="24"/>
        </w:rPr>
        <w:t>.</w:t>
      </w:r>
    </w:p>
    <w:p w:rsidR="00B86A43" w:rsidRDefault="00E65F62" w:rsidP="0019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возрастному составу </w:t>
      </w:r>
      <w:r w:rsidR="00B86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Фонде можно выделить три группы сотрудников:</w:t>
      </w:r>
    </w:p>
    <w:p w:rsidR="00E65F62" w:rsidRPr="0026313E" w:rsidRDefault="0026313E" w:rsidP="0019536A">
      <w:pPr>
        <w:spacing w:after="0" w:line="240" w:lineRule="auto"/>
        <w:ind w:left="10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6A43" w:rsidRPr="002631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65F62" w:rsidRPr="0026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40 лет –  </w:t>
      </w:r>
      <w:r w:rsidR="00F2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</w:t>
      </w:r>
      <w:r w:rsidR="00F2713F" w:rsidRPr="0026313E">
        <w:rPr>
          <w:rFonts w:ascii="Times New Roman" w:eastAsia="Times New Roman" w:hAnsi="Times New Roman" w:cs="Times New Roman"/>
          <w:sz w:val="24"/>
          <w:szCs w:val="24"/>
          <w:lang w:eastAsia="ru-RU"/>
        </w:rPr>
        <w:t>39 %</w:t>
      </w:r>
      <w:r w:rsidR="00E65F62" w:rsidRPr="0026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численности;</w:t>
      </w:r>
    </w:p>
    <w:p w:rsidR="00E65F62" w:rsidRDefault="00B86A43" w:rsidP="0019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</w:t>
      </w:r>
      <w:r w:rsidR="00263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до </w:t>
      </w:r>
      <w:r w:rsidR="00E65F62"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лет –составляет </w:t>
      </w:r>
      <w:r w:rsidR="00F2713F"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71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713F"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E65F62"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численности;</w:t>
      </w:r>
    </w:p>
    <w:p w:rsidR="00E65F62" w:rsidRPr="00E65F62" w:rsidRDefault="00B86A43" w:rsidP="0019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</w:t>
      </w:r>
      <w:r w:rsidR="00263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65F62"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55 лет –составляет</w:t>
      </w:r>
      <w:r w:rsidR="00F2713F"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71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713F"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E65F62" w:rsidRPr="00E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численности.</w:t>
      </w:r>
    </w:p>
    <w:p w:rsidR="00E65F62" w:rsidRDefault="00E65F62" w:rsidP="00195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F62" w:rsidRDefault="00E65F62" w:rsidP="00160922">
      <w:p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53348" cy="2881423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5F62" w:rsidRPr="00B86A43" w:rsidRDefault="00E65F62" w:rsidP="00160922">
      <w:p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2DD" w:rsidRDefault="003D12DD" w:rsidP="00460C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Основными функциями Фонда являются назначение и выплата пенсий, пособий, компенсаций, других социальных выплат,</w:t>
      </w:r>
      <w:r w:rsidR="001C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</w:t>
      </w:r>
      <w:r w:rsidR="00A47264">
        <w:rPr>
          <w:rFonts w:ascii="Times New Roman" w:hAnsi="Times New Roman" w:cs="Times New Roman"/>
          <w:sz w:val="24"/>
          <w:szCs w:val="24"/>
        </w:rPr>
        <w:t>, а также ведение индивидуального учета в системе государственного пенсионного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. В 2014 году  </w:t>
      </w:r>
      <w:r w:rsidR="00A4726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 выплаты производились в соответствии </w:t>
      </w:r>
      <w:r w:rsidR="0019536A">
        <w:rPr>
          <w:rFonts w:ascii="Times New Roman" w:hAnsi="Times New Roman" w:cs="Times New Roman"/>
          <w:sz w:val="24"/>
          <w:szCs w:val="24"/>
        </w:rPr>
        <w:t xml:space="preserve">с </w:t>
      </w:r>
      <w:r w:rsidRPr="00002AA8">
        <w:rPr>
          <w:rFonts w:ascii="Times New Roman" w:hAnsi="Times New Roman" w:cs="Times New Roman"/>
          <w:sz w:val="24"/>
          <w:szCs w:val="24"/>
        </w:rPr>
        <w:t xml:space="preserve">Законом ПМР «О бюджете </w:t>
      </w:r>
      <w:r w:rsidR="00A47264">
        <w:rPr>
          <w:rFonts w:ascii="Times New Roman" w:hAnsi="Times New Roman" w:cs="Times New Roman"/>
          <w:sz w:val="24"/>
          <w:szCs w:val="24"/>
        </w:rPr>
        <w:t>Е</w:t>
      </w:r>
      <w:r w:rsidRPr="00002AA8">
        <w:rPr>
          <w:rFonts w:ascii="Times New Roman" w:hAnsi="Times New Roman" w:cs="Times New Roman"/>
          <w:sz w:val="24"/>
          <w:szCs w:val="24"/>
        </w:rPr>
        <w:t>диного государственного фонда социального страхования</w:t>
      </w:r>
      <w:r w:rsidR="00A47264">
        <w:rPr>
          <w:rFonts w:ascii="Times New Roman" w:hAnsi="Times New Roman" w:cs="Times New Roman"/>
          <w:sz w:val="24"/>
          <w:szCs w:val="24"/>
        </w:rPr>
        <w:t xml:space="preserve"> ПМР </w:t>
      </w:r>
      <w:r>
        <w:rPr>
          <w:rFonts w:ascii="Times New Roman" w:hAnsi="Times New Roman" w:cs="Times New Roman"/>
          <w:sz w:val="24"/>
          <w:szCs w:val="24"/>
        </w:rPr>
        <w:t>на2014-2016 годы»,</w:t>
      </w:r>
      <w:r w:rsidRPr="00B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Pr="00B53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192" w:rsidRDefault="00932AD4" w:rsidP="0046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 динамику  доходов, расходов и дефицита средств Фонда за период 2012-2014 годы </w:t>
      </w:r>
      <w:r w:rsidR="0079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</w:t>
      </w:r>
      <w:r w:rsidR="002E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7935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2012 году 41,8% расходов Фонда не были обеспечены доходами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2013 и 2014 годах наблюдается снижение доли расходов не обеспеченных доходами</w:t>
      </w:r>
      <w:r w:rsidR="002E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F2668D" w:rsidRPr="00015B20" w:rsidRDefault="002E7413" w:rsidP="0046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6964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 г</w:t>
      </w:r>
      <w:r w:rsidR="003D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– 35,2% расходов Фонда не были обеспечены доходами, </w:t>
      </w:r>
      <w:r w:rsidR="0001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</w:t>
      </w:r>
      <w:r w:rsidR="0069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- 35%, из чего следует, что темпы роста расходов превышают темп роста </w:t>
      </w:r>
      <w:r w:rsidR="00A03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015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68D" w:rsidRDefault="00F2668D" w:rsidP="0046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AD4" w:rsidRPr="00DC6206" w:rsidRDefault="00F0364C" w:rsidP="00DC6206">
      <w:pPr>
        <w:keepNext/>
        <w:spacing w:after="0" w:line="240" w:lineRule="auto"/>
        <w:ind w:firstLine="70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3842" cy="3859618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75A2" w:rsidRDefault="003C75A2" w:rsidP="00EB4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DA" w:rsidRDefault="0011127C" w:rsidP="00EB4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увеличения расходов Фонда  связана с ростом минимального размера пенсий, с ростом численности получателей пенсий, с ростом РУ МЗП для исчисления пособий, компенсаций  и иных выплат, производимых Фондом.</w:t>
      </w:r>
      <w:r w:rsidR="0081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E44" w:rsidRDefault="000008DA" w:rsidP="00392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бюджета Фонда на 2014-2016 годы основная финансовая нагрузка</w:t>
      </w:r>
      <w:r w:rsidR="009C6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повышение пенсий</w:t>
      </w:r>
      <w:r w:rsidR="009C6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r w:rsidR="0048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года, что позволило Фонду сэкономить бюджетные средства в размере порядка 100 млн.руб.</w:t>
      </w:r>
      <w:r w:rsidR="0081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7B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169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7B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денежных средств в </w:t>
      </w:r>
      <w:r w:rsidR="006A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Фонда не 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6A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</w:t>
      </w:r>
      <w:r w:rsidR="006A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запланированное 3-этапное повышение 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</w:t>
      </w:r>
      <w:r w:rsidR="006A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пенсий и 2-этапное повышение размер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A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пособий и компенсаций</w:t>
      </w:r>
      <w:r w:rsidR="0039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снизило </w:t>
      </w:r>
      <w:r w:rsidR="00392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A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</w:t>
      </w:r>
      <w:r w:rsidR="0039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более 70 млн.руб.  </w:t>
      </w:r>
    </w:p>
    <w:p w:rsidR="00392E44" w:rsidRDefault="00392E44" w:rsidP="00392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5A2" w:rsidRDefault="003C75A2" w:rsidP="00EB4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DF8" w:rsidRPr="00F2668D" w:rsidRDefault="00F2668D" w:rsidP="00EB4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</w:t>
      </w:r>
      <w:r w:rsidR="00932AD4" w:rsidRPr="00CB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расходов по осуществлению основных функций бюджета  Фонда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доля расходов приходится на пенсионное обеспечение и составляет </w:t>
      </w:r>
      <w:r w:rsidRPr="00F26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89,2%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C7739" w:rsidRDefault="00EB4DF8" w:rsidP="00EB4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государственное социальное страхование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B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6,0%;</w:t>
      </w:r>
    </w:p>
    <w:p w:rsidR="00EB4DF8" w:rsidRDefault="00EB4DF8" w:rsidP="00EB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гарантированн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государством пособия – </w:t>
      </w:r>
      <w:r w:rsidRPr="00EB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1,5%;</w:t>
      </w:r>
    </w:p>
    <w:p w:rsidR="00EB4DF8" w:rsidRDefault="00EB4DF8" w:rsidP="00EB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возмещаемы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республиканским бюджетом – </w:t>
      </w:r>
      <w:r w:rsidRPr="00EB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1,7%;</w:t>
      </w:r>
    </w:p>
    <w:p w:rsidR="00EB4DF8" w:rsidRDefault="00EB4DF8" w:rsidP="00EB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страхование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безработицы – </w:t>
      </w:r>
      <w:r w:rsidRPr="00EB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0,7%;</w:t>
      </w:r>
    </w:p>
    <w:p w:rsidR="00932AD4" w:rsidRPr="00CB4ED6" w:rsidRDefault="00EB4DF8" w:rsidP="00EB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дирекции – </w:t>
      </w:r>
      <w:r w:rsidRPr="00EB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0,8%.</w:t>
      </w:r>
    </w:p>
    <w:p w:rsidR="002E7413" w:rsidRDefault="00573EBE" w:rsidP="002E7413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072867" cy="402973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7413" w:rsidRDefault="002E7413" w:rsidP="005E1699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13" w:rsidRDefault="002E7413" w:rsidP="005E1699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13" w:rsidRDefault="002E7413" w:rsidP="005E1699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13" w:rsidRDefault="002E7413" w:rsidP="005E1699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13" w:rsidRDefault="002E7413" w:rsidP="005E1699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13" w:rsidRDefault="002E7413" w:rsidP="005E1699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13" w:rsidRDefault="002E7413" w:rsidP="005E1699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22435" w:rsidRDefault="00022435" w:rsidP="005E1699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22435" w:rsidRPr="003D0AD7" w:rsidRDefault="00460CB4" w:rsidP="00022435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22435" w:rsidRPr="0058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енсионно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обеспечение</w:t>
      </w:r>
    </w:p>
    <w:p w:rsidR="002E2D46" w:rsidRPr="00EE27A1" w:rsidRDefault="00A1505E" w:rsidP="00A1505E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2E2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2E2D46" w:rsidRPr="000C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асходы на пенсионное обеспечение зависят от численности получателей пенсии и среднего размера пенсии.</w:t>
      </w:r>
    </w:p>
    <w:p w:rsidR="00A1505E" w:rsidRDefault="00A1505E" w:rsidP="00A1505E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F8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Фонда </w:t>
      </w:r>
      <w:r w:rsidRPr="005667F8">
        <w:rPr>
          <w:rFonts w:ascii="Times New Roman" w:hAnsi="Times New Roman" w:cs="Times New Roman"/>
          <w:sz w:val="24"/>
          <w:szCs w:val="24"/>
        </w:rPr>
        <w:t>по пенсионному обеспечению (страхованию)</w:t>
      </w:r>
      <w:r>
        <w:rPr>
          <w:rFonts w:ascii="Times New Roman" w:hAnsi="Times New Roman" w:cs="Times New Roman"/>
          <w:sz w:val="24"/>
          <w:szCs w:val="24"/>
        </w:rPr>
        <w:t xml:space="preserve"> на выплату пенсий, пособий и компенсаций  </w:t>
      </w:r>
      <w:r w:rsidRPr="0082337E">
        <w:rPr>
          <w:rFonts w:ascii="Times New Roman" w:hAnsi="Times New Roman" w:cs="Times New Roman"/>
          <w:sz w:val="24"/>
          <w:szCs w:val="24"/>
        </w:rPr>
        <w:t>в 2014 году</w:t>
      </w:r>
      <w:r>
        <w:rPr>
          <w:rFonts w:ascii="Times New Roman" w:hAnsi="Times New Roman" w:cs="Times New Roman"/>
          <w:sz w:val="24"/>
          <w:szCs w:val="24"/>
        </w:rPr>
        <w:t xml:space="preserve"> составили  </w:t>
      </w:r>
      <w:r w:rsidRPr="008233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3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млрд.</w:t>
      </w:r>
      <w:r w:rsidRPr="0082337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что на 7% превысило расходы 2013 года и на 20% расходы 2012 года.</w:t>
      </w:r>
    </w:p>
    <w:p w:rsidR="00A1505E" w:rsidRDefault="00A1505E" w:rsidP="008639A7">
      <w:pPr>
        <w:pStyle w:val="a9"/>
        <w:spacing w:after="0" w:line="240" w:lineRule="auto"/>
        <w:ind w:left="1134" w:right="539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A1505E" w:rsidRDefault="00A1505E" w:rsidP="008639A7">
      <w:pPr>
        <w:pStyle w:val="a9"/>
        <w:spacing w:after="0" w:line="240" w:lineRule="auto"/>
        <w:ind w:left="1134" w:right="539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6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E2D46" w:rsidRPr="00A31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Сохраняется  тенденция роста численности получателей пенсии. </w:t>
      </w:r>
    </w:p>
    <w:p w:rsidR="006D4B12" w:rsidRDefault="006D4B12" w:rsidP="008639A7">
      <w:pPr>
        <w:pStyle w:val="a9"/>
        <w:spacing w:after="0" w:line="240" w:lineRule="auto"/>
        <w:ind w:left="1134" w:right="539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B12" w:rsidRDefault="006D4B12" w:rsidP="008639A7">
      <w:pPr>
        <w:pStyle w:val="a9"/>
        <w:spacing w:after="0" w:line="240" w:lineRule="auto"/>
        <w:ind w:left="1134" w:right="539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B12" w:rsidRDefault="006D4B12" w:rsidP="008639A7">
      <w:pPr>
        <w:pStyle w:val="a9"/>
        <w:spacing w:after="0" w:line="240" w:lineRule="auto"/>
        <w:ind w:left="1134" w:right="539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B12" w:rsidRDefault="006D4B12" w:rsidP="008639A7">
      <w:pPr>
        <w:pStyle w:val="a9"/>
        <w:spacing w:after="0" w:line="240" w:lineRule="auto"/>
        <w:ind w:left="1134" w:right="539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7944736" cy="3598087"/>
            <wp:effectExtent l="19050" t="0" r="18164" b="2363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505E" w:rsidRDefault="00A1505E" w:rsidP="008639A7">
      <w:pPr>
        <w:pStyle w:val="a9"/>
        <w:spacing w:after="0" w:line="240" w:lineRule="auto"/>
        <w:ind w:left="1134" w:right="539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520" w:rsidRDefault="002E2D46" w:rsidP="008639A7">
      <w:pPr>
        <w:pStyle w:val="a9"/>
        <w:spacing w:after="0" w:line="240" w:lineRule="auto"/>
        <w:ind w:left="1134" w:right="539" w:firstLine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2012 года  общая численность получателей пенсий возросла на 2 116  человек или на 1,5 %  и по состоянию на 31 декабря 2014 года составила 141 288 человек.</w:t>
      </w:r>
      <w:r w:rsidR="006B3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Прирост численности получателей пенсий обусловлен ростом численности получателей трудовых пенсий на 2 220 человек или на 1,7% по сравнению с 2012 годом.</w:t>
      </w:r>
      <w:r w:rsidR="0086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Наблюдается тенденция по снижению количества </w:t>
      </w:r>
      <w:r w:rsidR="00902520" w:rsidRPr="009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получателей социальных пенсий на 104 человека или 2,4%.</w:t>
      </w:r>
    </w:p>
    <w:p w:rsidR="002E2D46" w:rsidRDefault="00F93227" w:rsidP="002E2D46">
      <w:pPr>
        <w:pStyle w:val="a9"/>
        <w:spacing w:after="0" w:line="240" w:lineRule="auto"/>
        <w:ind w:left="1134" w:right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  </w:t>
      </w:r>
      <w:r w:rsidR="00C35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 размера пенсии происходит в зависимости от роста минимального размера пенсии и изменени</w:t>
      </w:r>
      <w:r w:rsidR="00C35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соотношения  количества трудовых пенсий к социальным.</w:t>
      </w:r>
    </w:p>
    <w:p w:rsidR="00975A44" w:rsidRDefault="00975A44" w:rsidP="002E2D46">
      <w:pPr>
        <w:pStyle w:val="a9"/>
        <w:spacing w:after="0" w:line="240" w:lineRule="auto"/>
        <w:ind w:left="1134" w:right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A4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763563" cy="3902149"/>
            <wp:effectExtent l="19050" t="0" r="18237" b="3101"/>
            <wp:docPr id="19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16CF4" w:rsidRDefault="008469C6" w:rsidP="00975A44">
      <w:pPr>
        <w:pStyle w:val="a9"/>
        <w:spacing w:after="0" w:line="240" w:lineRule="auto"/>
        <w:ind w:left="1134" w:right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</w:t>
      </w:r>
    </w:p>
    <w:p w:rsidR="0031487F" w:rsidRPr="0031487F" w:rsidRDefault="0031487F" w:rsidP="003148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87F">
        <w:rPr>
          <w:rFonts w:ascii="Times New Roman" w:hAnsi="Times New Roman" w:cs="Times New Roman"/>
          <w:sz w:val="24"/>
          <w:szCs w:val="24"/>
        </w:rPr>
        <w:t>За 2014 год величина прожиточного минимума пен</w:t>
      </w:r>
      <w:r>
        <w:rPr>
          <w:rFonts w:ascii="Times New Roman" w:hAnsi="Times New Roman" w:cs="Times New Roman"/>
          <w:sz w:val="24"/>
          <w:szCs w:val="24"/>
        </w:rPr>
        <w:t>сионера возросла на 73,63 рубля</w:t>
      </w:r>
      <w:r w:rsidRPr="0031487F">
        <w:rPr>
          <w:rFonts w:ascii="Times New Roman" w:hAnsi="Times New Roman" w:cs="Times New Roman"/>
          <w:sz w:val="24"/>
          <w:szCs w:val="24"/>
        </w:rPr>
        <w:t xml:space="preserve"> или на 7,20% и составила 1 095,57 рублей.</w:t>
      </w:r>
    </w:p>
    <w:p w:rsidR="008D723D" w:rsidRPr="008D723D" w:rsidRDefault="008D723D" w:rsidP="008D7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среднего размера пенсии к величине  </w:t>
      </w:r>
      <w:r w:rsidRPr="0031487F">
        <w:rPr>
          <w:rFonts w:ascii="Times New Roman" w:hAnsi="Times New Roman" w:cs="Times New Roman"/>
          <w:sz w:val="24"/>
          <w:szCs w:val="24"/>
        </w:rPr>
        <w:t>прожиточн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1487F">
        <w:rPr>
          <w:rFonts w:ascii="Times New Roman" w:hAnsi="Times New Roman" w:cs="Times New Roman"/>
          <w:sz w:val="24"/>
          <w:szCs w:val="24"/>
        </w:rPr>
        <w:t xml:space="preserve"> минимума пен</w:t>
      </w:r>
      <w:r>
        <w:rPr>
          <w:rFonts w:ascii="Times New Roman" w:hAnsi="Times New Roman" w:cs="Times New Roman"/>
          <w:sz w:val="24"/>
          <w:szCs w:val="24"/>
        </w:rPr>
        <w:t>сионера состав</w:t>
      </w:r>
      <w:r w:rsidR="001B16C7">
        <w:rPr>
          <w:rFonts w:ascii="Times New Roman" w:hAnsi="Times New Roman" w:cs="Times New Roman"/>
          <w:sz w:val="24"/>
          <w:szCs w:val="24"/>
        </w:rPr>
        <w:t>ляет 1,23, что является положительным показателем.</w:t>
      </w:r>
    </w:p>
    <w:p w:rsidR="00022435" w:rsidRPr="00460CB4" w:rsidRDefault="00022435" w:rsidP="00460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3A3">
        <w:rPr>
          <w:rFonts w:ascii="Times New Roman" w:eastAsia="Calibri" w:hAnsi="Times New Roman" w:cs="Times New Roman"/>
          <w:sz w:val="24"/>
          <w:szCs w:val="24"/>
        </w:rPr>
        <w:t>Кроме того в 2014 году пенсионерам Приднестровской Молдавской Республики производилась выплата ежемесячной дополнительной помощи к пенсии в размере 100 рублей и ежемесячной гуманитарной помощи Российской Федерации в размере 165 рублей.</w:t>
      </w:r>
    </w:p>
    <w:p w:rsidR="00022435" w:rsidRPr="00460CB4" w:rsidRDefault="00022435" w:rsidP="00022435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D7E" w:rsidRDefault="002A6D7E" w:rsidP="00022435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2435" w:rsidRPr="005803A3" w:rsidRDefault="00460CB4" w:rsidP="00022435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022435" w:rsidRPr="0058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осударст</w:t>
      </w:r>
      <w:r w:rsidR="00022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социальное страхование</w:t>
      </w:r>
    </w:p>
    <w:p w:rsidR="00022435" w:rsidRPr="005803A3" w:rsidRDefault="00022435" w:rsidP="00022435">
      <w:pPr>
        <w:spacing w:after="8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104F" w:rsidRDefault="009D104F" w:rsidP="00B266A5">
      <w:pPr>
        <w:spacing w:after="80" w:line="240" w:lineRule="auto"/>
        <w:ind w:left="142" w:firstLine="57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2014 году в</w:t>
      </w:r>
      <w:r w:rsidR="00022435" w:rsidRPr="0058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ыплачено работающим застрахованным гражданам пособий по временной нетрудоспособности</w:t>
      </w:r>
      <w:r w:rsidR="00022435" w:rsidRPr="0058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 беременности и родам и на рождение детей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сумму </w:t>
      </w:r>
      <w:r w:rsidR="00022435" w:rsidRPr="0058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141</w:t>
      </w:r>
      <w:r w:rsidR="00460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22435" w:rsidRPr="0058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2A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60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млн.</w:t>
      </w:r>
      <w:r w:rsidR="00022435" w:rsidRPr="0058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</w:t>
      </w:r>
      <w:r w:rsidR="00022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</w:t>
      </w:r>
      <w:r w:rsidR="00022435" w:rsidRPr="0058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на 9% больше, чем в 2013 году и на 21,4% больше, чем в 2012 году.</w:t>
      </w:r>
    </w:p>
    <w:p w:rsidR="009D104F" w:rsidRDefault="009D104F" w:rsidP="00022435">
      <w:pPr>
        <w:spacing w:after="8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104F" w:rsidRDefault="009D104F" w:rsidP="003D0AD7">
      <w:pPr>
        <w:spacing w:after="8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507125" cy="21796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2C1C" w:rsidRDefault="00B12C1C" w:rsidP="005803A3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5C6" w:rsidRPr="00956606" w:rsidRDefault="00B12C1C" w:rsidP="00B35AC3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доля расходов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обязательному социальному страхованию приходится на выплату пособий по временной нетрудоспособности, которая </w:t>
      </w:r>
      <w:r w:rsidR="00205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2014 году </w:t>
      </w:r>
      <w:r w:rsidR="006C0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составила 61,4% , в 2013 году 62,6%.</w:t>
      </w:r>
    </w:p>
    <w:p w:rsidR="00B35AC3" w:rsidRDefault="00B35AC3" w:rsidP="00B35AC3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Ежегодный рост расходов Фонда на выплату </w:t>
      </w:r>
      <w:r w:rsidRPr="0058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пособий по временной нетрудоспособности</w:t>
      </w:r>
      <w:r w:rsidRPr="00580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 беременности и родам и на рождение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обусловлен увеличением среднего размера пособий.</w:t>
      </w:r>
      <w:r w:rsidR="00A25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Наблюдается тенденция к росту среднего размера пособий по беременности и родам</w:t>
      </w:r>
      <w:r w:rsidR="005C6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связанная с увеличением МРОТ</w:t>
      </w:r>
      <w:r w:rsidR="00E930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80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Так, в 2014 году размер пособия по беременности и родам составил 13,3 тыс. руб., что превысило  данный показатель 2013 года на 1,6 тыс. руб.</w:t>
      </w:r>
      <w:r w:rsidR="00E930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0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или на 13,5% </w:t>
      </w:r>
      <w:r w:rsidR="00E930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показатель 2012 года на 3,1 тыс.руб</w:t>
      </w:r>
      <w:r w:rsidR="00281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930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на 30,8%.</w:t>
      </w:r>
    </w:p>
    <w:p w:rsidR="00A25752" w:rsidRPr="00022435" w:rsidRDefault="00A25752" w:rsidP="00A25752">
      <w:pPr>
        <w:spacing w:after="8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01070" cy="3030280"/>
            <wp:effectExtent l="0" t="0" r="0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2713F" w:rsidRDefault="00F2713F" w:rsidP="00A25AB6">
      <w:pPr>
        <w:spacing w:after="8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D46" w:rsidRPr="003D0AD7" w:rsidRDefault="002E2D46" w:rsidP="005803A3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D46" w:rsidRPr="003D0AD7" w:rsidRDefault="002E2D46" w:rsidP="005803A3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7EF" w:rsidRDefault="00AB17EF" w:rsidP="005803A3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Гарантированные пособия по материнству</w:t>
      </w:r>
    </w:p>
    <w:p w:rsidR="005803A3" w:rsidRPr="005803A3" w:rsidRDefault="005803A3" w:rsidP="005803A3">
      <w:pPr>
        <w:spacing w:after="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13" w:rsidRPr="00A675A6" w:rsidRDefault="002E7413" w:rsidP="002E74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Расходы по выплате гарантированных государством пособий по материнству в 2014 году составили 42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,3 млн.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3,6% больше, чем в 2013 году и на 10,7% больше чем в 2012 году.</w:t>
      </w:r>
    </w:p>
    <w:p w:rsidR="00F54184" w:rsidRDefault="00F54184" w:rsidP="002E7413">
      <w:pPr>
        <w:spacing w:after="80" w:line="240" w:lineRule="auto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6B09FA" w:rsidRDefault="00F54184" w:rsidP="003C75A2">
      <w:pPr>
        <w:spacing w:after="8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49116" cy="2817628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3227" w:rsidRDefault="008A29CD" w:rsidP="00AB1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Получателями гарантированных пособий по материнству являются </w:t>
      </w:r>
      <w:r w:rsidR="00522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неработающие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38A4" w:rsidRPr="006012F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404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138A4" w:rsidRPr="006012F8">
        <w:rPr>
          <w:rFonts w:ascii="Times New Roman" w:eastAsia="Times New Roman" w:hAnsi="Times New Roman" w:cs="Times New Roman"/>
          <w:sz w:val="24"/>
          <w:szCs w:val="24"/>
        </w:rPr>
        <w:t>, не подлежащи</w:t>
      </w:r>
      <w:r w:rsidR="002404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138A4" w:rsidRPr="006012F8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обязательному социальному страхованию, а также индивидуальны</w:t>
      </w:r>
      <w:r w:rsidR="002404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138A4" w:rsidRPr="006012F8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2404DB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7138A4" w:rsidRPr="006012F8">
        <w:rPr>
          <w:rFonts w:ascii="Times New Roman" w:eastAsia="Times New Roman" w:hAnsi="Times New Roman" w:cs="Times New Roman"/>
          <w:sz w:val="24"/>
          <w:szCs w:val="24"/>
        </w:rPr>
        <w:t xml:space="preserve"> частны</w:t>
      </w:r>
      <w:r w:rsidR="002404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138A4" w:rsidRPr="006012F8">
        <w:rPr>
          <w:rFonts w:ascii="Times New Roman" w:eastAsia="Times New Roman" w:hAnsi="Times New Roman" w:cs="Times New Roman"/>
          <w:sz w:val="24"/>
          <w:szCs w:val="24"/>
        </w:rPr>
        <w:t xml:space="preserve"> нотариус</w:t>
      </w:r>
      <w:r w:rsidR="002404DB"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  <w:r w:rsidR="005226C9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7138A4" w:rsidRPr="00601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6C9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снижение </w:t>
      </w:r>
      <w:r w:rsidR="00203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</w:t>
      </w:r>
      <w:r w:rsidR="00522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203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получателей</w:t>
      </w:r>
      <w:r w:rsidR="00522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данных видов пособий</w:t>
      </w:r>
      <w:r w:rsidR="002A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Так</w:t>
      </w:r>
      <w:r w:rsidR="00522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03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отношению к 2013 году</w:t>
      </w:r>
      <w:r w:rsidR="002A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уменьшение  данного показателя  произошло на</w:t>
      </w:r>
      <w:r w:rsidR="00203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378 человек,</w:t>
      </w:r>
      <w:r w:rsidR="002A6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</w:t>
      </w:r>
      <w:r w:rsidR="00203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2012 году 484 человека.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F589F" w:rsidRDefault="002A6D7E" w:rsidP="00AB1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Однако у</w:t>
      </w:r>
      <w:r w:rsidR="00AF5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величение расходов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гарантированные пособия по материнству</w:t>
      </w:r>
      <w:r w:rsidR="00AF5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B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обусловлено ростом  размера </w:t>
      </w:r>
      <w:r w:rsidR="00CE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данных </w:t>
      </w:r>
      <w:r w:rsidR="009B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пособий</w:t>
      </w:r>
      <w:r w:rsidR="00C2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B32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который </w:t>
      </w:r>
      <w:r w:rsidR="00CE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свою очередь, </w:t>
      </w:r>
      <w:r w:rsidR="00C2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связан с уровнем РУ МЗП</w:t>
      </w:r>
      <w:r w:rsidR="009B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25752" w:rsidRDefault="00A25752" w:rsidP="00A257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575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95975" cy="3248025"/>
            <wp:effectExtent l="0" t="0" r="0" b="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25752" w:rsidRDefault="00A25752" w:rsidP="00AB1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5752" w:rsidRPr="00A675A6" w:rsidRDefault="00A25752" w:rsidP="00AB1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17EF" w:rsidRPr="00A675A6" w:rsidRDefault="00AB17EF" w:rsidP="002E74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 единовременного пособия при рождении ребенка в 2014</w:t>
      </w:r>
      <w:r w:rsidR="002E7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 составлял 1 824,00 рубля и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увеличился </w:t>
      </w:r>
      <w:r w:rsidR="002E7413"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76,80 рублей по отношению к 2013 году</w:t>
      </w:r>
      <w:r w:rsidR="002E7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134,40</w:t>
      </w:r>
      <w:r w:rsidR="002E7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рубля по отношению к 2012 году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</w:t>
      </w:r>
    </w:p>
    <w:p w:rsidR="00AB17EF" w:rsidRPr="00A675A6" w:rsidRDefault="00AB17EF" w:rsidP="00AB1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Размер ежемесячного пособия по уходу за ребенком до достижения им возраста 1,5 лет гражданам,  не подлежащим обязательному социальному страхованию, в 2014 году составлял 1 045,00 рублей, увеличение произошло </w:t>
      </w:r>
      <w:r w:rsidR="00A602DD"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44,0 </w:t>
      </w:r>
      <w:r w:rsidR="00A60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рубля по отношению к 2013 году и 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77,0 рублей по отношению к 2012 году</w:t>
      </w:r>
      <w:r w:rsidR="00A60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803A3" w:rsidRPr="005803A3" w:rsidRDefault="00AB17EF" w:rsidP="00580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 ежемесячного пособия по уходу за ребенком до достижения им возраста 1,5 лет</w:t>
      </w:r>
      <w:r w:rsidR="00A60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неработающим или необучающимся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2014 году составлял  332,50 рубля</w:t>
      </w:r>
      <w:r w:rsidR="00A60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отношению к 20</w:t>
      </w:r>
      <w:r w:rsidR="00A60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 году увеличился на 14 рублей и  на 24,5 рубля по отношению к 2012 году.</w:t>
      </w:r>
    </w:p>
    <w:p w:rsidR="00A602DD" w:rsidRDefault="00A602DD" w:rsidP="00AB17E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7EF" w:rsidRPr="00A675A6" w:rsidRDefault="00AB17EF" w:rsidP="00AB17E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Пособия и компенсации, </w:t>
      </w:r>
    </w:p>
    <w:p w:rsidR="00F04B81" w:rsidRDefault="00AB17EF" w:rsidP="0072020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возмещаемые Республиканским бюджетом</w:t>
      </w:r>
    </w:p>
    <w:p w:rsidR="00F04B81" w:rsidRDefault="00F04B81" w:rsidP="00F12A4A">
      <w:pPr>
        <w:spacing w:after="8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также осуществляет выплату пособий и компенсаций отдельным категориям граждан, возмещаемых </w:t>
      </w:r>
      <w:r w:rsidRPr="00F0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Республиканским бюджетом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04B81" w:rsidRPr="00F04B81" w:rsidRDefault="00F04B81" w:rsidP="0072020F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доля по выплате пособий и компенсаций приходится на ежемесячные пособия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детей из малообеспеченных семей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численность которых за анализируемый период остается стабильной и составляет 13,8 тыс. человек. В 2014 году  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размер пособия  составлял – 242,25 рубля  на каждого ребенка, ежегодное увеличение  по отношению к   2013 году составляет  10,20 рубля, по отношению к 2012 году 17,85 рублей.</w:t>
      </w:r>
    </w:p>
    <w:p w:rsidR="00AB17EF" w:rsidRPr="00690919" w:rsidRDefault="00F04B81" w:rsidP="0072020F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8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018624" cy="3200400"/>
            <wp:effectExtent l="0" t="0" r="0" b="0"/>
            <wp:docPr id="6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1973" w:rsidRDefault="00DE1973" w:rsidP="004F193B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295B" w:rsidRDefault="00F04B81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Кроме этого Фонд осуществляет выплату </w:t>
      </w:r>
      <w:r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пособий, компенсаций, возмещения вреда гражданам, пострадавшим вследствие Чернобыльской катастрофы и иных радиационных или техногенных катастроф</w:t>
      </w:r>
      <w:r w:rsidR="002F2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численность получателей составила в 2014 году 428 человек. </w:t>
      </w:r>
      <w:r w:rsidR="00AB17EF"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Анализируя динамику за 2012-2014 годы, наблюдае</w:t>
      </w:r>
      <w:r w:rsidR="002F2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тся </w:t>
      </w:r>
      <w:r w:rsidR="00AB17EF"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тенденци</w:t>
      </w:r>
      <w:r w:rsidR="002F2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AB17EF"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уменьшению </w:t>
      </w:r>
      <w:r w:rsidR="002F2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численности </w:t>
      </w:r>
      <w:r w:rsidR="00AB17EF" w:rsidRPr="00A6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получателей  на 45 человек. </w:t>
      </w:r>
    </w:p>
    <w:p w:rsidR="00F12A4A" w:rsidRDefault="00F12A4A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Увеличение расходов по выплатам пособий и компенсаций отдельным категориям граждан, возмещаемых </w:t>
      </w:r>
      <w:r w:rsidRPr="00F0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Республиканским бюджетом</w:t>
      </w:r>
      <w:r w:rsidR="00651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обусловлено увеличением  РУ МЗП</w:t>
      </w:r>
      <w:r w:rsidR="00651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исчисления пособий и компенсаций</w:t>
      </w:r>
      <w:r w:rsidR="0016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26762" w:rsidRDefault="00E26762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295B" w:rsidRDefault="00BC60C0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F295B" w:rsidRPr="00E2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дним из направлений деятельности Фонда </w:t>
      </w:r>
      <w:r w:rsidRPr="00E2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является </w:t>
      </w:r>
      <w:r w:rsidR="002F295B" w:rsidRPr="00E2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оздоровление работающих граждан и членов их семей. </w:t>
      </w:r>
    </w:p>
    <w:p w:rsidR="00E26762" w:rsidRPr="00E26762" w:rsidRDefault="00E26762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95B" w:rsidRPr="00A675A6" w:rsidRDefault="00956606" w:rsidP="0072020F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6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F295B" w:rsidRPr="00A675A6">
        <w:rPr>
          <w:rFonts w:ascii="Times New Roman" w:eastAsia="Times New Roman" w:hAnsi="Times New Roman" w:cs="Times New Roman"/>
          <w:sz w:val="24"/>
          <w:szCs w:val="24"/>
        </w:rPr>
        <w:t>На частичное возмещение стоимости операций  израсходовано ср</w:t>
      </w:r>
      <w:r w:rsidR="00BC60C0">
        <w:rPr>
          <w:rFonts w:ascii="Times New Roman" w:eastAsia="Times New Roman" w:hAnsi="Times New Roman" w:cs="Times New Roman"/>
          <w:sz w:val="24"/>
          <w:szCs w:val="24"/>
        </w:rPr>
        <w:t>едств за 2014 год  на сумму 149,8 тыс.</w:t>
      </w:r>
      <w:r w:rsidR="002F295B" w:rsidRPr="00A675A6">
        <w:rPr>
          <w:rFonts w:ascii="Times New Roman" w:eastAsia="Times New Roman" w:hAnsi="Times New Roman" w:cs="Times New Roman"/>
          <w:sz w:val="24"/>
          <w:szCs w:val="24"/>
        </w:rPr>
        <w:t xml:space="preserve"> рублей, за счет которых проделано 985 операций. </w:t>
      </w:r>
    </w:p>
    <w:p w:rsidR="002F295B" w:rsidRDefault="002F295B" w:rsidP="0072020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675A6">
        <w:rPr>
          <w:rFonts w:ascii="Times New Roman" w:hAnsi="Times New Roman" w:cs="Times New Roman"/>
          <w:sz w:val="24"/>
          <w:szCs w:val="24"/>
        </w:rPr>
        <w:t xml:space="preserve">      </w:t>
      </w:r>
      <w:r w:rsidR="00956606" w:rsidRPr="00956606">
        <w:rPr>
          <w:rFonts w:ascii="Times New Roman" w:hAnsi="Times New Roman" w:cs="Times New Roman"/>
          <w:sz w:val="24"/>
          <w:szCs w:val="24"/>
        </w:rPr>
        <w:t xml:space="preserve">   </w:t>
      </w:r>
      <w:r w:rsidRPr="00A675A6">
        <w:rPr>
          <w:rFonts w:ascii="Times New Roman" w:hAnsi="Times New Roman" w:cs="Times New Roman"/>
          <w:sz w:val="24"/>
          <w:szCs w:val="24"/>
        </w:rPr>
        <w:t>На реабилитацию застрахованных граждан и их несовершеннолетних детей в лечебно-профилактических учреждениях</w:t>
      </w:r>
      <w:r w:rsidR="00BC60C0" w:rsidRPr="00A675A6">
        <w:rPr>
          <w:rFonts w:ascii="Times New Roman" w:hAnsi="Times New Roman" w:cs="Times New Roman"/>
          <w:sz w:val="24"/>
          <w:szCs w:val="24"/>
        </w:rPr>
        <w:t xml:space="preserve">за 2014 год  </w:t>
      </w:r>
      <w:r w:rsidRPr="00A675A6">
        <w:rPr>
          <w:rFonts w:ascii="Times New Roman" w:hAnsi="Times New Roman" w:cs="Times New Roman"/>
          <w:sz w:val="24"/>
          <w:szCs w:val="24"/>
        </w:rPr>
        <w:t xml:space="preserve">  израсходовано средств на сумму 860</w:t>
      </w:r>
      <w:r w:rsidR="00BC60C0">
        <w:rPr>
          <w:rFonts w:ascii="Times New Roman" w:hAnsi="Times New Roman" w:cs="Times New Roman"/>
          <w:sz w:val="24"/>
          <w:szCs w:val="24"/>
        </w:rPr>
        <w:t>,</w:t>
      </w:r>
      <w:r w:rsidRPr="00A675A6">
        <w:rPr>
          <w:rFonts w:ascii="Times New Roman" w:hAnsi="Times New Roman" w:cs="Times New Roman"/>
          <w:sz w:val="24"/>
          <w:szCs w:val="24"/>
        </w:rPr>
        <w:t>8</w:t>
      </w:r>
      <w:r w:rsidR="00BC60C0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675A6">
        <w:rPr>
          <w:rFonts w:ascii="Times New Roman" w:hAnsi="Times New Roman" w:cs="Times New Roman"/>
          <w:sz w:val="24"/>
          <w:szCs w:val="24"/>
        </w:rPr>
        <w:t xml:space="preserve"> рубл</w:t>
      </w:r>
      <w:r w:rsidR="00BC60C0">
        <w:rPr>
          <w:rFonts w:ascii="Times New Roman" w:hAnsi="Times New Roman" w:cs="Times New Roman"/>
          <w:sz w:val="24"/>
          <w:szCs w:val="24"/>
        </w:rPr>
        <w:t>ей</w:t>
      </w:r>
      <w:r w:rsidRPr="00A675A6">
        <w:rPr>
          <w:rFonts w:ascii="Times New Roman" w:hAnsi="Times New Roman" w:cs="Times New Roman"/>
          <w:sz w:val="24"/>
          <w:szCs w:val="24"/>
        </w:rPr>
        <w:t xml:space="preserve">, за счет которых прошло реабилитацию 3 635 человек. </w:t>
      </w:r>
    </w:p>
    <w:p w:rsidR="00382652" w:rsidRPr="00B35AC3" w:rsidRDefault="002F295B" w:rsidP="00BC60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42">
        <w:rPr>
          <w:rFonts w:ascii="Times New Roman" w:hAnsi="Times New Roman" w:cs="Times New Roman"/>
        </w:rPr>
        <w:t>В 2014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закуплены путевки на санаторно-курортное лечение и оздоровление работников и членов  их семей, которые освоены в полном объеме. </w:t>
      </w:r>
    </w:p>
    <w:p w:rsidR="00382652" w:rsidRDefault="00382652" w:rsidP="00BC60C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89016" cy="2913321"/>
            <wp:effectExtent l="1905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56606" w:rsidRDefault="00956606" w:rsidP="009566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66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75A6">
        <w:rPr>
          <w:rFonts w:ascii="Times New Roman" w:hAnsi="Times New Roman" w:cs="Times New Roman"/>
          <w:sz w:val="24"/>
          <w:szCs w:val="24"/>
        </w:rPr>
        <w:t>По итогам 2014 года было приобретено 24 путевки на санаторно-курортное лечение работающим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недостаточностью поступления </w:t>
      </w:r>
      <w:r w:rsidRPr="00223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Фонд, приобретение </w:t>
      </w:r>
      <w:r w:rsidRPr="00223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путевок на санаторно-курортное лечение</w:t>
      </w:r>
      <w:r w:rsidRPr="0095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223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</w:t>
      </w:r>
      <w:r>
        <w:rPr>
          <w:rFonts w:ascii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специалистами  Фонда была проведена детская оздоровительная кампания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Закуплены путевки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1 852 штуки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детское оздоровление на четыре смены продолжительностью 14 дней в ООО «Меренештский оздоровительный лагерь «Виктория», ГУП «Оздоровительный комплекс «Днестровские зори», ООО «Дубоссарский оздоровительный лагерь» для детей с семи до четырнадцати полных лет.  Приобретенные путевки были освоены в полном объеме. </w:t>
      </w:r>
    </w:p>
    <w:p w:rsidR="004F193B" w:rsidRPr="0072020F" w:rsidRDefault="009D7447" w:rsidP="0072020F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47">
        <w:rPr>
          <w:rFonts w:ascii="Times New Roman" w:hAnsi="Times New Roman" w:cs="Times New Roman"/>
          <w:b/>
          <w:sz w:val="24"/>
          <w:szCs w:val="24"/>
        </w:rPr>
        <w:t>По страхованию от безработицы</w:t>
      </w:r>
    </w:p>
    <w:p w:rsidR="00A675A6" w:rsidRDefault="00BC60C0" w:rsidP="00720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Фондом осуществляется деятельность по  регистрации и трудоустройству безработных граждан</w:t>
      </w:r>
      <w:r w:rsidR="009D74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09B" w:rsidRDefault="00DE1973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зарегистрированных граждан в Центрах социального страхования и социальной защиты </w:t>
      </w:r>
      <w:r w:rsidR="00297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2014 год составило 10</w:t>
      </w:r>
      <w:r w:rsidR="009D7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,8 тыс. человек, что на 13,6% больше по сравнению с 2013</w:t>
      </w:r>
      <w:r w:rsidR="00D7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BE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итогам  2014 года количество безра</w:t>
      </w:r>
      <w:r w:rsidR="009D7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ботных граждан увеличилось  на 23,8% </w:t>
      </w:r>
      <w:r w:rsidR="00D7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BE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</w:t>
      </w:r>
      <w:r w:rsidR="00D7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BE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9D7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,0 тыс.</w:t>
      </w:r>
      <w:r w:rsidR="00BE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</w:t>
      </w:r>
      <w:r w:rsidR="00596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75DA9" w:rsidRDefault="009D7447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D7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2014 году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трудоустроено </w:t>
      </w:r>
      <w:r w:rsidR="00D7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,1 тыс.</w:t>
      </w:r>
      <w:r w:rsidR="00D7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человек, что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3,8%</w:t>
      </w:r>
      <w:r w:rsidR="00D7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больше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 в  2013 году</w:t>
      </w:r>
      <w:r w:rsidR="00D75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96D52" w:rsidRDefault="00596D52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Несмотря на сложную экономическую ситуацию, сложившуюся в 2014 году были реализованы следующие программы активной политики занятости.</w:t>
      </w:r>
    </w:p>
    <w:p w:rsidR="009D7447" w:rsidRDefault="00D75DA9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Направлено на общественные работы 656 человек</w:t>
      </w:r>
      <w:r w:rsidR="009D7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D7447" w:rsidRDefault="00626526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Трудоустроено несовершеннолетних граждан в каникулярное время 434 человека</w:t>
      </w:r>
      <w:r w:rsidR="009D7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D7447" w:rsidRDefault="00626526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Направлено на  профессиональную подготовку, переподгот</w:t>
      </w:r>
      <w:r w:rsidR="009D7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овку, повышение квалификации  146 человек.</w:t>
      </w:r>
    </w:p>
    <w:p w:rsidR="00F14DF3" w:rsidRDefault="00F14DF3" w:rsidP="00720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03A3" w:rsidRPr="004317AA" w:rsidRDefault="00F14DF3" w:rsidP="004317AA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F14DF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186530" cy="3200400"/>
            <wp:effectExtent l="0" t="0" r="0" b="0"/>
            <wp:docPr id="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7758" w:rsidRDefault="00367758" w:rsidP="00F14DF3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10E6" w:rsidRPr="004317AA" w:rsidRDefault="008210E6" w:rsidP="001E0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210E6" w:rsidRDefault="004317AA" w:rsidP="001E0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317A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63246" cy="178627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17AA" w:rsidRDefault="004317AA" w:rsidP="001E0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8C1" w:rsidRDefault="00367758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Средний размер пособия по б</w:t>
      </w:r>
      <w:r w:rsidR="00881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езработице в 2014 году составил 427,4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 что больше уровня 2013  и </w:t>
      </w:r>
      <w:r w:rsidR="009D7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2012 годов на 4%.</w:t>
      </w:r>
    </w:p>
    <w:p w:rsidR="00367758" w:rsidRDefault="00881934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2014 году  среднесписочная численность получателей пособия по безработице  составила 3,6 тыс. человек, что на 10,3% больше показателя за 2013 год и на 16% меньше показателя за 2012 год.</w:t>
      </w:r>
    </w:p>
    <w:p w:rsidR="0072020F" w:rsidRDefault="0072020F" w:rsidP="00720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5C71" w:rsidRDefault="00065C71" w:rsidP="00720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71" w:rsidRPr="00065C71" w:rsidRDefault="00065C71" w:rsidP="00065C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65C71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Индивидуальный (персонифицированный) учет</w:t>
      </w: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65C71">
        <w:rPr>
          <w:rFonts w:ascii="Times New Roman" w:eastAsia="Times New Roman" w:hAnsi="Times New Roman" w:cs="Times New Roman"/>
          <w:sz w:val="24"/>
          <w:szCs w:val="20"/>
        </w:rPr>
        <w:t>Одним из направлений деятельности Фонда является ведение индивидуального (персонифицированного) учета в системе государственного пенсионного страхования.</w:t>
      </w:r>
    </w:p>
    <w:p w:rsid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65C71">
        <w:rPr>
          <w:rFonts w:ascii="Times New Roman" w:eastAsia="Times New Roman" w:hAnsi="Times New Roman" w:cs="Times New Roman"/>
          <w:sz w:val="24"/>
          <w:szCs w:val="20"/>
        </w:rPr>
        <w:t>Поступление информации в базу данных Фонда осуществляется централизованно, по системе «Одно окно». Общее количество организаций за рассматриваемый  период находится примерно на одном уровне, несколько варьируясь в связи с ликвидацией и реорганизацией предприятий, и составляет порядка 8,7 тысяч организаций различной формы собственности в разной стадии активности. За период с 2012 по 2014 годы  наблюдалась тенденция к росту организаций, ведущих хозяйственную  деятельность – с  6</w:t>
      </w:r>
      <w:r w:rsidR="00072683">
        <w:rPr>
          <w:rFonts w:ascii="Times New Roman" w:eastAsia="Times New Roman" w:hAnsi="Times New Roman" w:cs="Times New Roman"/>
          <w:sz w:val="24"/>
          <w:szCs w:val="20"/>
        </w:rPr>
        <w:t xml:space="preserve">,5 тыс. </w:t>
      </w:r>
      <w:r w:rsidRPr="00065C71">
        <w:rPr>
          <w:rFonts w:ascii="Times New Roman" w:eastAsia="Times New Roman" w:hAnsi="Times New Roman" w:cs="Times New Roman"/>
          <w:sz w:val="24"/>
          <w:szCs w:val="20"/>
        </w:rPr>
        <w:t xml:space="preserve"> в 2012 году </w:t>
      </w:r>
      <w:r w:rsidR="00072683">
        <w:rPr>
          <w:rFonts w:ascii="Times New Roman" w:eastAsia="Times New Roman" w:hAnsi="Times New Roman" w:cs="Times New Roman"/>
          <w:sz w:val="24"/>
          <w:szCs w:val="20"/>
        </w:rPr>
        <w:t xml:space="preserve"> до 7,4 тыс. </w:t>
      </w:r>
      <w:r w:rsidRPr="00065C71">
        <w:rPr>
          <w:rFonts w:ascii="Times New Roman" w:eastAsia="Times New Roman" w:hAnsi="Times New Roman" w:cs="Times New Roman"/>
          <w:sz w:val="24"/>
          <w:szCs w:val="20"/>
        </w:rPr>
        <w:t xml:space="preserve"> в 2014 году.</w:t>
      </w:r>
    </w:p>
    <w:p w:rsidR="00072683" w:rsidRPr="00065C71" w:rsidRDefault="00072683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3"/>
        <w:tblW w:w="0" w:type="auto"/>
        <w:jc w:val="center"/>
        <w:tblInd w:w="-2350" w:type="dxa"/>
        <w:tblLook w:val="04A0"/>
      </w:tblPr>
      <w:tblGrid>
        <w:gridCol w:w="4533"/>
        <w:gridCol w:w="1346"/>
        <w:gridCol w:w="1346"/>
        <w:gridCol w:w="1346"/>
      </w:tblGrid>
      <w:tr w:rsidR="00065C71" w:rsidRPr="00065C71" w:rsidTr="00B34A8E">
        <w:trPr>
          <w:trHeight w:val="300"/>
          <w:jc w:val="center"/>
        </w:trPr>
        <w:tc>
          <w:tcPr>
            <w:tcW w:w="8571" w:type="dxa"/>
            <w:gridSpan w:val="4"/>
            <w:noWrap/>
            <w:hideMark/>
          </w:tcPr>
          <w:p w:rsidR="00065C71" w:rsidRPr="00065C71" w:rsidRDefault="00065C71" w:rsidP="00065C7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Общее количество организаций (активные, в стадии ликвидации, ликвидированные)</w:t>
            </w:r>
          </w:p>
        </w:tc>
      </w:tr>
      <w:tr w:rsidR="00065C71" w:rsidRPr="00065C71" w:rsidTr="00B34A8E">
        <w:trPr>
          <w:trHeight w:val="300"/>
          <w:jc w:val="center"/>
        </w:trPr>
        <w:tc>
          <w:tcPr>
            <w:tcW w:w="4533" w:type="dxa"/>
            <w:noWrap/>
            <w:hideMark/>
          </w:tcPr>
          <w:p w:rsidR="00065C71" w:rsidRPr="00065C71" w:rsidRDefault="00065C71" w:rsidP="00065C71">
            <w:pPr>
              <w:ind w:firstLine="567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C71">
              <w:rPr>
                <w:rFonts w:ascii="Times New Roman" w:hAnsi="Times New Roman" w:cs="Times New Roman"/>
                <w:b/>
                <w:bCs/>
              </w:rPr>
              <w:t>2012г. (8531)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C71">
              <w:rPr>
                <w:rFonts w:ascii="Times New Roman" w:hAnsi="Times New Roman" w:cs="Times New Roman"/>
                <w:b/>
                <w:bCs/>
              </w:rPr>
              <w:t>2013г. (8782)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C71">
              <w:rPr>
                <w:rFonts w:ascii="Times New Roman" w:hAnsi="Times New Roman" w:cs="Times New Roman"/>
                <w:b/>
                <w:bCs/>
              </w:rPr>
              <w:t>2014г. (8874)</w:t>
            </w:r>
          </w:p>
        </w:tc>
      </w:tr>
      <w:tr w:rsidR="00065C71" w:rsidRPr="00065C71" w:rsidTr="00B34A8E">
        <w:trPr>
          <w:trHeight w:val="300"/>
          <w:jc w:val="center"/>
        </w:trPr>
        <w:tc>
          <w:tcPr>
            <w:tcW w:w="4533" w:type="dxa"/>
            <w:noWrap/>
            <w:hideMark/>
          </w:tcPr>
          <w:p w:rsidR="00065C71" w:rsidRPr="00065C71" w:rsidRDefault="00065C71" w:rsidP="00065C71">
            <w:pPr>
              <w:ind w:firstLine="567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активные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6507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6999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7407</w:t>
            </w:r>
          </w:p>
        </w:tc>
      </w:tr>
      <w:tr w:rsidR="00065C71" w:rsidRPr="00065C71" w:rsidTr="00B34A8E">
        <w:trPr>
          <w:trHeight w:val="300"/>
          <w:jc w:val="center"/>
        </w:trPr>
        <w:tc>
          <w:tcPr>
            <w:tcW w:w="4533" w:type="dxa"/>
            <w:noWrap/>
            <w:hideMark/>
          </w:tcPr>
          <w:p w:rsidR="00065C71" w:rsidRPr="00065C71" w:rsidRDefault="00065C71" w:rsidP="00065C71">
            <w:pPr>
              <w:ind w:firstLine="567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в стадии ликвидации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1205</w:t>
            </w:r>
          </w:p>
        </w:tc>
      </w:tr>
      <w:tr w:rsidR="00065C71" w:rsidRPr="00065C71" w:rsidTr="00B34A8E">
        <w:trPr>
          <w:trHeight w:val="300"/>
          <w:jc w:val="center"/>
        </w:trPr>
        <w:tc>
          <w:tcPr>
            <w:tcW w:w="4533" w:type="dxa"/>
            <w:noWrap/>
            <w:hideMark/>
          </w:tcPr>
          <w:p w:rsidR="00065C71" w:rsidRPr="00065C71" w:rsidRDefault="00065C71" w:rsidP="00065C71">
            <w:pPr>
              <w:ind w:firstLine="567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ликвидированные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346" w:type="dxa"/>
            <w:noWrap/>
            <w:hideMark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262</w:t>
            </w:r>
          </w:p>
        </w:tc>
      </w:tr>
      <w:tr w:rsidR="00065C71" w:rsidRPr="00065C71" w:rsidTr="00B34A8E">
        <w:trPr>
          <w:trHeight w:val="300"/>
          <w:jc w:val="center"/>
        </w:trPr>
        <w:tc>
          <w:tcPr>
            <w:tcW w:w="4533" w:type="dxa"/>
            <w:noWrap/>
          </w:tcPr>
          <w:p w:rsidR="00065C71" w:rsidRPr="00065C71" w:rsidRDefault="00065C71" w:rsidP="00065C71">
            <w:pPr>
              <w:ind w:firstLine="567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Отсутствует хоз. деятельность</w:t>
            </w:r>
          </w:p>
        </w:tc>
        <w:tc>
          <w:tcPr>
            <w:tcW w:w="1346" w:type="dxa"/>
            <w:noWrap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65C71">
              <w:rPr>
                <w:rFonts w:ascii="Times New Roman" w:hAnsi="Times New Roman" w:cs="Times New Roman"/>
                <w:b/>
                <w:i/>
              </w:rPr>
              <w:t>3 139</w:t>
            </w:r>
          </w:p>
        </w:tc>
        <w:tc>
          <w:tcPr>
            <w:tcW w:w="1346" w:type="dxa"/>
            <w:noWrap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65C71">
              <w:rPr>
                <w:rFonts w:ascii="Times New Roman" w:hAnsi="Times New Roman" w:cs="Times New Roman"/>
                <w:b/>
                <w:i/>
              </w:rPr>
              <w:t>3027</w:t>
            </w:r>
          </w:p>
        </w:tc>
        <w:tc>
          <w:tcPr>
            <w:tcW w:w="1346" w:type="dxa"/>
            <w:noWrap/>
          </w:tcPr>
          <w:p w:rsidR="00065C71" w:rsidRPr="00065C71" w:rsidRDefault="00065C71" w:rsidP="00072683">
            <w:pPr>
              <w:ind w:firstLine="567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65C71">
              <w:rPr>
                <w:rFonts w:ascii="Times New Roman" w:hAnsi="Times New Roman" w:cs="Times New Roman"/>
                <w:b/>
                <w:i/>
              </w:rPr>
              <w:t>2908</w:t>
            </w:r>
          </w:p>
        </w:tc>
      </w:tr>
    </w:tbl>
    <w:p w:rsidR="00E26762" w:rsidRDefault="00E26762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276225</wp:posOffset>
            </wp:positionV>
            <wp:extent cx="2557145" cy="3155315"/>
            <wp:effectExtent l="19050" t="0" r="14605" b="6985"/>
            <wp:wrapTight wrapText="bothSides">
              <wp:wrapPolygon edited="0">
                <wp:start x="-161" y="0"/>
                <wp:lineTo x="-161" y="21648"/>
                <wp:lineTo x="21723" y="21648"/>
                <wp:lineTo x="21723" y="0"/>
                <wp:lineTo x="-161" y="0"/>
              </wp:wrapPolygon>
            </wp:wrapTight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Pr="00065C7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274955</wp:posOffset>
            </wp:positionV>
            <wp:extent cx="2581275" cy="3162300"/>
            <wp:effectExtent l="0" t="0" r="9525" b="19050"/>
            <wp:wrapTopAndBottom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065C71" w:rsidRPr="00065C71" w:rsidRDefault="00065C71" w:rsidP="0006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>Основной задачей ведения индивидуального учета является сбор информации, поступающей от страхователей о стаже, доходе и отчислениях на пенсионное страхование застрахованных работающих граждан, для целей дальнейшего использования хранящихся  на индивидуальных лицевых счетах сведений при назначении гражданам пенсий.</w:t>
      </w:r>
    </w:p>
    <w:p w:rsid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>Процент организаций, исполняющих законодательство, действующее в с</w:t>
      </w:r>
      <w:r w:rsidR="00B34A8E">
        <w:rPr>
          <w:rFonts w:ascii="Times New Roman" w:eastAsia="Times New Roman" w:hAnsi="Times New Roman" w:cs="Times New Roman"/>
          <w:sz w:val="24"/>
          <w:szCs w:val="24"/>
        </w:rPr>
        <w:t>фере персонифицированного учета в 2012 году составлял 65% к 2014 году данный показатель увеличился до 78%. П</w:t>
      </w:r>
      <w:r w:rsidRPr="00065C71">
        <w:rPr>
          <w:rFonts w:ascii="Times New Roman" w:eastAsia="Times New Roman" w:hAnsi="Times New Roman" w:cs="Times New Roman"/>
          <w:sz w:val="24"/>
          <w:szCs w:val="24"/>
        </w:rPr>
        <w:t>роцент организаций</w:t>
      </w:r>
      <w:r w:rsidR="00603442" w:rsidRPr="00A03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C71">
        <w:rPr>
          <w:rFonts w:ascii="Times New Roman" w:eastAsia="Times New Roman" w:hAnsi="Times New Roman" w:cs="Times New Roman"/>
          <w:b/>
          <w:sz w:val="24"/>
          <w:szCs w:val="24"/>
        </w:rPr>
        <w:t>регулярно</w:t>
      </w:r>
      <w:r w:rsidRPr="00065C71">
        <w:rPr>
          <w:rFonts w:ascii="Times New Roman" w:eastAsia="Times New Roman" w:hAnsi="Times New Roman" w:cs="Times New Roman"/>
          <w:sz w:val="24"/>
          <w:szCs w:val="24"/>
        </w:rPr>
        <w:t xml:space="preserve"> нарушающих  законодательство, действующее в сфере персонифицированного учета,  составляет около 15 % всех работающих предприятий. Большинство «злостных нарушителей», не ведет хозяйственную деятельность (что не освобождает их от предоставления информации).</w:t>
      </w:r>
    </w:p>
    <w:p w:rsidR="00B34A8E" w:rsidRPr="00065C71" w:rsidRDefault="00B34A8E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Default="00B34A8E" w:rsidP="006269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организаций, предоста</w:t>
      </w:r>
      <w:r w:rsidR="00626905">
        <w:rPr>
          <w:rFonts w:ascii="Times New Roman" w:eastAsia="Times New Roman" w:hAnsi="Times New Roman" w:cs="Times New Roman"/>
          <w:sz w:val="24"/>
          <w:szCs w:val="24"/>
        </w:rPr>
        <w:t>вивших индивидуальные сведения застрахованных лиц</w:t>
      </w:r>
    </w:p>
    <w:p w:rsidR="00626905" w:rsidRPr="00065C71" w:rsidRDefault="00626905" w:rsidP="006269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3619" w:type="dxa"/>
        <w:tblLook w:val="04A0"/>
      </w:tblPr>
      <w:tblGrid>
        <w:gridCol w:w="2947"/>
        <w:gridCol w:w="2140"/>
        <w:gridCol w:w="2080"/>
        <w:gridCol w:w="1833"/>
      </w:tblGrid>
      <w:tr w:rsidR="00065C71" w:rsidRPr="00065C71" w:rsidTr="00626905">
        <w:trPr>
          <w:trHeight w:val="30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C71" w:rsidRPr="00065C71" w:rsidRDefault="00065C71" w:rsidP="000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83" w:rsidRDefault="00065C71" w:rsidP="000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  <w:p w:rsidR="00065C71" w:rsidRPr="00065C71" w:rsidRDefault="00065C71" w:rsidP="000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2011 отч.год)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83" w:rsidRDefault="00065C71" w:rsidP="000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  <w:p w:rsidR="00065C71" w:rsidRPr="00065C71" w:rsidRDefault="00065C71" w:rsidP="000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2012 отч.год)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83" w:rsidRDefault="00065C71" w:rsidP="000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  <w:p w:rsidR="00065C71" w:rsidRPr="00065C71" w:rsidRDefault="00065C71" w:rsidP="000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 2013 отч.год)</w:t>
            </w:r>
          </w:p>
        </w:tc>
      </w:tr>
      <w:tr w:rsidR="00065C71" w:rsidRPr="00065C71" w:rsidTr="00626905">
        <w:trPr>
          <w:trHeight w:val="6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C71" w:rsidRPr="00065C71" w:rsidRDefault="00065C71" w:rsidP="004D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Организации, предоставившие </w:t>
            </w:r>
            <w:r w:rsidR="004D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информацию по </w:t>
            </w: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</w:t>
            </w:r>
            <w:r w:rsidR="004D0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  учету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71" w:rsidRPr="00065C71" w:rsidRDefault="00065C71" w:rsidP="000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71" w:rsidRPr="00065C71" w:rsidRDefault="00065C71" w:rsidP="000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71" w:rsidRPr="00065C71" w:rsidRDefault="00065C71" w:rsidP="000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5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6749</w:t>
            </w:r>
          </w:p>
        </w:tc>
      </w:tr>
    </w:tbl>
    <w:p w:rsidR="00072683" w:rsidRDefault="00072683" w:rsidP="00072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905" w:rsidRDefault="00626905" w:rsidP="00072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940425" cy="2656607"/>
            <wp:effectExtent l="0" t="0" r="22225" b="10795"/>
            <wp:docPr id="3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5C71" w:rsidRPr="00065C71" w:rsidRDefault="00065C71" w:rsidP="0007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3" w:rsidRDefault="004D0F82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065C71" w:rsidRPr="00065C71">
        <w:rPr>
          <w:rFonts w:ascii="Times New Roman" w:eastAsia="Times New Roman" w:hAnsi="Times New Roman" w:cs="Times New Roman"/>
          <w:sz w:val="24"/>
          <w:szCs w:val="24"/>
        </w:rPr>
        <w:t xml:space="preserve"> среднем, за год обрабатывается порядка 300 тыс. документов персонифицированного учета. Основную массу обрабатываемых документов составляют индивидуальные сведения о стаже, доходе и отчислениях на пенсионное страхование работающих застрахованных граждан, которые в дальнейшем используются при назначении им пенсий.</w:t>
      </w: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83" w:rsidRDefault="00065C71" w:rsidP="000726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>Количество принятых и обработанных индивидуальных сведений о стаже,</w:t>
      </w:r>
    </w:p>
    <w:p w:rsidR="00065C71" w:rsidRDefault="00065C71" w:rsidP="000726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>доходе и отчислениях на пенсионное страхование</w:t>
      </w:r>
    </w:p>
    <w:p w:rsidR="00072683" w:rsidRPr="00065C71" w:rsidRDefault="00072683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2569" w:type="dxa"/>
        <w:tblLook w:val="04A0"/>
      </w:tblPr>
      <w:tblGrid>
        <w:gridCol w:w="3621"/>
        <w:gridCol w:w="1939"/>
        <w:gridCol w:w="2034"/>
        <w:gridCol w:w="2437"/>
      </w:tblGrid>
      <w:tr w:rsidR="00065C71" w:rsidRPr="00065C71" w:rsidTr="00072683">
        <w:trPr>
          <w:trHeight w:val="300"/>
        </w:trPr>
        <w:tc>
          <w:tcPr>
            <w:tcW w:w="3621" w:type="dxa"/>
            <w:noWrap/>
            <w:hideMark/>
          </w:tcPr>
          <w:p w:rsidR="00065C71" w:rsidRPr="00065C71" w:rsidRDefault="00065C71" w:rsidP="00065C7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noWrap/>
            <w:hideMark/>
          </w:tcPr>
          <w:p w:rsidR="00072683" w:rsidRDefault="00065C71" w:rsidP="00072683">
            <w:pPr>
              <w:jc w:val="center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2012</w:t>
            </w:r>
          </w:p>
          <w:p w:rsidR="00065C71" w:rsidRPr="00065C71" w:rsidRDefault="00065C71" w:rsidP="00072683">
            <w:pPr>
              <w:jc w:val="center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(за 2011 отч.год)</w:t>
            </w:r>
          </w:p>
        </w:tc>
        <w:tc>
          <w:tcPr>
            <w:tcW w:w="2034" w:type="dxa"/>
            <w:noWrap/>
            <w:hideMark/>
          </w:tcPr>
          <w:p w:rsidR="00072683" w:rsidRDefault="00065C71" w:rsidP="00072683">
            <w:pPr>
              <w:jc w:val="center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2013</w:t>
            </w:r>
          </w:p>
          <w:p w:rsidR="00065C71" w:rsidRPr="00065C71" w:rsidRDefault="00065C71" w:rsidP="00072683">
            <w:pPr>
              <w:jc w:val="center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(за 2012 отч.год)</w:t>
            </w:r>
          </w:p>
        </w:tc>
        <w:tc>
          <w:tcPr>
            <w:tcW w:w="2437" w:type="dxa"/>
            <w:noWrap/>
            <w:hideMark/>
          </w:tcPr>
          <w:p w:rsidR="00072683" w:rsidRDefault="00065C71" w:rsidP="00072683">
            <w:pPr>
              <w:jc w:val="center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2014</w:t>
            </w:r>
          </w:p>
          <w:p w:rsidR="00065C71" w:rsidRPr="00065C71" w:rsidRDefault="00065C71" w:rsidP="00072683">
            <w:pPr>
              <w:jc w:val="center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(за 2013 отч.год)</w:t>
            </w:r>
          </w:p>
        </w:tc>
      </w:tr>
      <w:tr w:rsidR="00065C71" w:rsidRPr="00065C71" w:rsidTr="00072683">
        <w:trPr>
          <w:trHeight w:val="600"/>
        </w:trPr>
        <w:tc>
          <w:tcPr>
            <w:tcW w:w="3621" w:type="dxa"/>
            <w:hideMark/>
          </w:tcPr>
          <w:p w:rsidR="00065C71" w:rsidRPr="00065C71" w:rsidRDefault="00065C71" w:rsidP="00065C7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Количество принятых индивидуальных сведений</w:t>
            </w:r>
          </w:p>
        </w:tc>
        <w:tc>
          <w:tcPr>
            <w:tcW w:w="1939" w:type="dxa"/>
            <w:noWrap/>
            <w:hideMark/>
          </w:tcPr>
          <w:p w:rsidR="00065C71" w:rsidRPr="00065C71" w:rsidRDefault="00065C71" w:rsidP="00065C7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191 497</w:t>
            </w:r>
          </w:p>
        </w:tc>
        <w:tc>
          <w:tcPr>
            <w:tcW w:w="2034" w:type="dxa"/>
            <w:noWrap/>
            <w:hideMark/>
          </w:tcPr>
          <w:p w:rsidR="00065C71" w:rsidRPr="00065C71" w:rsidRDefault="00065C71" w:rsidP="00065C7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184 814</w:t>
            </w:r>
          </w:p>
        </w:tc>
        <w:tc>
          <w:tcPr>
            <w:tcW w:w="2437" w:type="dxa"/>
            <w:noWrap/>
            <w:hideMark/>
          </w:tcPr>
          <w:p w:rsidR="00065C71" w:rsidRPr="00065C71" w:rsidRDefault="00065C71" w:rsidP="00065C7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200789</w:t>
            </w:r>
          </w:p>
        </w:tc>
      </w:tr>
      <w:tr w:rsidR="00065C71" w:rsidRPr="00065C71" w:rsidTr="00072683">
        <w:trPr>
          <w:trHeight w:val="300"/>
        </w:trPr>
        <w:tc>
          <w:tcPr>
            <w:tcW w:w="3621" w:type="dxa"/>
            <w:hideMark/>
          </w:tcPr>
          <w:p w:rsidR="00065C71" w:rsidRPr="00065C71" w:rsidRDefault="00065C71" w:rsidP="00065C71">
            <w:pPr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из них принято в электронном виде</w:t>
            </w:r>
          </w:p>
        </w:tc>
        <w:tc>
          <w:tcPr>
            <w:tcW w:w="1939" w:type="dxa"/>
            <w:noWrap/>
            <w:hideMark/>
          </w:tcPr>
          <w:p w:rsidR="00065C71" w:rsidRPr="00065C71" w:rsidRDefault="00065C71" w:rsidP="00065C7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172 270</w:t>
            </w:r>
          </w:p>
        </w:tc>
        <w:tc>
          <w:tcPr>
            <w:tcW w:w="2034" w:type="dxa"/>
            <w:noWrap/>
            <w:hideMark/>
          </w:tcPr>
          <w:p w:rsidR="00065C71" w:rsidRPr="00065C71" w:rsidRDefault="00065C71" w:rsidP="00065C7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167 923</w:t>
            </w:r>
          </w:p>
        </w:tc>
        <w:tc>
          <w:tcPr>
            <w:tcW w:w="2437" w:type="dxa"/>
            <w:noWrap/>
            <w:hideMark/>
          </w:tcPr>
          <w:p w:rsidR="00065C71" w:rsidRPr="00065C71" w:rsidRDefault="00065C71" w:rsidP="00065C7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65C71">
              <w:rPr>
                <w:rFonts w:ascii="Times New Roman" w:hAnsi="Times New Roman" w:cs="Times New Roman"/>
              </w:rPr>
              <w:t>181468</w:t>
            </w:r>
          </w:p>
        </w:tc>
      </w:tr>
    </w:tbl>
    <w:p w:rsidR="00072683" w:rsidRDefault="00072683" w:rsidP="0006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Default="00065C71" w:rsidP="0006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>Порядка 90% сведений, поступающих в базу данных Фонда, принимаются в электронном виде.</w:t>
      </w:r>
    </w:p>
    <w:p w:rsidR="004D0F82" w:rsidRPr="00065C71" w:rsidRDefault="004D0F82" w:rsidP="0006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Pr="00065C71" w:rsidRDefault="00065C71" w:rsidP="0006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276975" cy="3590925"/>
            <wp:effectExtent l="19050" t="0" r="9525" b="0"/>
            <wp:docPr id="3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lastRenderedPageBreak/>
        <w:t>Ежегодно Фондом изготавливается и вручается порядка 14 тыс. страховых свидетельств государственного пенсионного страхования.</w:t>
      </w:r>
    </w:p>
    <w:p w:rsidR="00072683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 xml:space="preserve">По окончанию установленных законодательством сроков предоставления сведений, необходимых для ведения индивидуального учета, сотрудниками проводятся мероприятия попривлечению организаций-нарушителей к ответственности  за неисполнение законодательства, действующего в сфере индивидуального учета. </w:t>
      </w:r>
    </w:p>
    <w:p w:rsidR="00072683" w:rsidRDefault="00072683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Default="00065C71" w:rsidP="000726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>Результаты контрольных мероприятий</w:t>
      </w:r>
    </w:p>
    <w:p w:rsidR="00072683" w:rsidRPr="00065C71" w:rsidRDefault="00072683" w:rsidP="000726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231" w:type="dxa"/>
        <w:tblInd w:w="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16"/>
        <w:gridCol w:w="2989"/>
      </w:tblGrid>
      <w:tr w:rsidR="00065C71" w:rsidRPr="00065C71" w:rsidTr="00072683">
        <w:tc>
          <w:tcPr>
            <w:tcW w:w="1526" w:type="dxa"/>
            <w:shd w:val="clear" w:color="auto" w:fill="auto"/>
          </w:tcPr>
          <w:p w:rsidR="00065C71" w:rsidRPr="00065C71" w:rsidRDefault="00065C71" w:rsidP="000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16" w:type="dxa"/>
            <w:shd w:val="clear" w:color="auto" w:fill="auto"/>
          </w:tcPr>
          <w:p w:rsidR="00065C71" w:rsidRPr="00065C71" w:rsidRDefault="00065C71" w:rsidP="000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Подлежало администр. взысканиям</w:t>
            </w:r>
          </w:p>
        </w:tc>
        <w:tc>
          <w:tcPr>
            <w:tcW w:w="2989" w:type="dxa"/>
            <w:shd w:val="clear" w:color="auto" w:fill="auto"/>
          </w:tcPr>
          <w:p w:rsidR="00065C71" w:rsidRPr="00065C71" w:rsidRDefault="00065C71" w:rsidP="000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сумма взысканных штрафных санкций.</w:t>
            </w:r>
          </w:p>
          <w:p w:rsidR="00065C71" w:rsidRPr="00065C71" w:rsidRDefault="00065C71" w:rsidP="000726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C71" w:rsidRPr="00065C71" w:rsidRDefault="00065C71" w:rsidP="000726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C71" w:rsidRPr="00065C71" w:rsidTr="00072683">
        <w:tc>
          <w:tcPr>
            <w:tcW w:w="1526" w:type="dxa"/>
            <w:shd w:val="clear" w:color="auto" w:fill="auto"/>
          </w:tcPr>
          <w:p w:rsidR="00065C71" w:rsidRPr="00065C71" w:rsidRDefault="00065C71" w:rsidP="0006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2012г.</w:t>
            </w: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716" w:type="dxa"/>
            <w:shd w:val="clear" w:color="auto" w:fill="auto"/>
          </w:tcPr>
          <w:p w:rsidR="00065C71" w:rsidRPr="00065C71" w:rsidRDefault="00065C71" w:rsidP="000726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89" w:type="dxa"/>
            <w:shd w:val="clear" w:color="auto" w:fill="auto"/>
          </w:tcPr>
          <w:p w:rsidR="00065C71" w:rsidRPr="00065C71" w:rsidRDefault="00065C71" w:rsidP="000726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41365 руб.</w:t>
            </w:r>
          </w:p>
        </w:tc>
      </w:tr>
      <w:tr w:rsidR="00065C71" w:rsidRPr="00065C71" w:rsidTr="00072683">
        <w:tc>
          <w:tcPr>
            <w:tcW w:w="1526" w:type="dxa"/>
            <w:shd w:val="clear" w:color="auto" w:fill="auto"/>
          </w:tcPr>
          <w:p w:rsidR="00065C71" w:rsidRPr="00065C71" w:rsidRDefault="00065C71" w:rsidP="0006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2014г.:</w:t>
            </w:r>
          </w:p>
        </w:tc>
        <w:tc>
          <w:tcPr>
            <w:tcW w:w="1716" w:type="dxa"/>
            <w:shd w:val="clear" w:color="auto" w:fill="auto"/>
          </w:tcPr>
          <w:p w:rsidR="00065C71" w:rsidRPr="00065C71" w:rsidRDefault="00065C71" w:rsidP="000726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89" w:type="dxa"/>
            <w:shd w:val="clear" w:color="auto" w:fill="auto"/>
          </w:tcPr>
          <w:p w:rsidR="00065C71" w:rsidRPr="00065C71" w:rsidRDefault="00065C71" w:rsidP="000726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C71">
              <w:rPr>
                <w:rFonts w:ascii="Times New Roman" w:eastAsia="Times New Roman" w:hAnsi="Times New Roman" w:cs="Times New Roman"/>
                <w:sz w:val="20"/>
                <w:szCs w:val="20"/>
              </w:rPr>
              <w:t>87500 руб.</w:t>
            </w:r>
          </w:p>
        </w:tc>
      </w:tr>
    </w:tbl>
    <w:p w:rsidR="00072683" w:rsidRDefault="00072683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71" w:rsidRPr="00065C71" w:rsidRDefault="00065C71" w:rsidP="0006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 xml:space="preserve">С момента организации Фонда наблюдается рост количества </w:t>
      </w:r>
      <w:r w:rsidRPr="00065C71">
        <w:rPr>
          <w:rFonts w:ascii="Times New Roman" w:eastAsia="Times New Roman" w:hAnsi="Times New Roman" w:cs="Times New Roman"/>
          <w:b/>
          <w:sz w:val="24"/>
          <w:szCs w:val="24"/>
        </w:rPr>
        <w:t>выявленных</w:t>
      </w:r>
      <w:r w:rsidRPr="00065C71">
        <w:rPr>
          <w:rFonts w:ascii="Times New Roman" w:eastAsia="Times New Roman" w:hAnsi="Times New Roman" w:cs="Times New Roman"/>
          <w:sz w:val="24"/>
          <w:szCs w:val="24"/>
        </w:rPr>
        <w:t xml:space="preserve"> нарушителей законодательства. </w:t>
      </w:r>
    </w:p>
    <w:p w:rsidR="00065C71" w:rsidRPr="005E677F" w:rsidRDefault="00065C71" w:rsidP="005E6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71">
        <w:rPr>
          <w:rFonts w:ascii="Times New Roman" w:eastAsia="Times New Roman" w:hAnsi="Times New Roman" w:cs="Times New Roman"/>
          <w:sz w:val="24"/>
          <w:szCs w:val="24"/>
        </w:rPr>
        <w:t xml:space="preserve">Ряд принятых по законодательной инициативе Правительства ПМР внесений изменений и дополнений в нормативные правовые акты, позволил Фонду расширить свои полномочия по отношению к работодателям, нарушающим </w:t>
      </w:r>
      <w:r w:rsidR="00B6704F">
        <w:rPr>
          <w:rFonts w:ascii="Times New Roman" w:eastAsia="Times New Roman" w:hAnsi="Times New Roman" w:cs="Times New Roman"/>
          <w:sz w:val="24"/>
          <w:szCs w:val="24"/>
        </w:rPr>
        <w:t>пенсионное законодательство</w:t>
      </w:r>
      <w:r w:rsidRPr="00065C71">
        <w:rPr>
          <w:rFonts w:ascii="Times New Roman" w:eastAsia="Times New Roman" w:hAnsi="Times New Roman" w:cs="Times New Roman"/>
          <w:sz w:val="24"/>
          <w:szCs w:val="24"/>
        </w:rPr>
        <w:t>. В частности, в Административном Кодексе ПМР предусмотрены</w:t>
      </w:r>
      <w:r w:rsidR="00B6704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основания для привлечения к ответственности </w:t>
      </w:r>
      <w:r w:rsidR="004D0F82">
        <w:rPr>
          <w:rFonts w:ascii="Times New Roman" w:eastAsia="Times New Roman" w:hAnsi="Times New Roman" w:cs="Times New Roman"/>
          <w:sz w:val="24"/>
          <w:szCs w:val="24"/>
        </w:rPr>
        <w:t xml:space="preserve">страхователей </w:t>
      </w:r>
      <w:r w:rsidRPr="00065C71">
        <w:rPr>
          <w:rFonts w:ascii="Times New Roman" w:eastAsia="Times New Roman" w:hAnsi="Times New Roman" w:cs="Times New Roman"/>
          <w:sz w:val="24"/>
          <w:szCs w:val="24"/>
        </w:rPr>
        <w:t xml:space="preserve">за отказ </w:t>
      </w:r>
      <w:r w:rsidR="00B6704F">
        <w:rPr>
          <w:rFonts w:ascii="Times New Roman" w:eastAsia="Times New Roman" w:hAnsi="Times New Roman" w:cs="Times New Roman"/>
          <w:sz w:val="24"/>
          <w:szCs w:val="24"/>
        </w:rPr>
        <w:t xml:space="preserve">в  предоставлениинеобходимой </w:t>
      </w:r>
      <w:r w:rsidRPr="00065C71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="00B6704F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</w:t>
      </w:r>
    </w:p>
    <w:p w:rsidR="00367758" w:rsidRDefault="00367758" w:rsidP="001E0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45" w:rsidRDefault="00367758" w:rsidP="00DE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Капитальные вложения </w:t>
      </w:r>
    </w:p>
    <w:p w:rsidR="00CF4EDB" w:rsidRDefault="002D34DE" w:rsidP="0043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реорганизации внебюджетных фондов в 2012 году проведен мониторинг материально-технического оснащения структурных подразделений, которые впоследствии вошли в состав Фонда.  </w:t>
      </w:r>
      <w:r w:rsidR="00CF4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 за 20 предыдущих лет функционирования данных структур</w:t>
      </w:r>
      <w:r w:rsidR="00B6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</w:t>
      </w:r>
      <w:r w:rsidR="00CF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техническими средствами было недостаточным.</w:t>
      </w:r>
    </w:p>
    <w:p w:rsidR="00E9662E" w:rsidRDefault="00E9662E" w:rsidP="00431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эффективности работы персонала </w:t>
      </w:r>
      <w:r w:rsidR="00B6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созданных территориальных подразделений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ускорения периода обработки документов </w:t>
      </w:r>
      <w:r w:rsidR="00B6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принято решение об автомати</w:t>
      </w:r>
      <w:r w:rsidR="00431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 каждого рабочего места.</w:t>
      </w:r>
    </w:p>
    <w:p w:rsidR="00DE6345" w:rsidRPr="00DE6345" w:rsidRDefault="007D377E" w:rsidP="007D37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этих целей </w:t>
      </w:r>
      <w:r w:rsidR="00DE6345" w:rsidRPr="00DE6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 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6345" w:rsidRPr="00DE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6345" w:rsidRPr="00DE63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377E" w:rsidRDefault="00DE6345" w:rsidP="00DE63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73 </w:t>
      </w:r>
      <w:r w:rsidR="007D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 оргтехники; </w:t>
      </w:r>
      <w:r w:rsidRPr="00DE6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228</w:t>
      </w:r>
      <w:r w:rsidR="007D377E" w:rsidRPr="007D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комплектов;  </w:t>
      </w:r>
      <w:r w:rsidRPr="00DE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44 </w:t>
      </w:r>
      <w:r w:rsidR="00DF1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 w:rsidR="007D3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A73" w:rsidRDefault="00DE6345" w:rsidP="007D37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27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за период 2013 – 2014 годов </w:t>
      </w:r>
      <w:r w:rsidRPr="00DE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были проведены ремонтно-строительные работы помещений Центров социального страхования и социальной защиты городов Григориополь, Дубоссары и Тирасполь. Так же проведена реконструкция системы отопления, </w:t>
      </w:r>
      <w:r w:rsidR="0054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F0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54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сантехнические работы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</w:t>
      </w:r>
      <w:r w:rsidR="005447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страхования и социальной защиты</w:t>
      </w:r>
      <w:r w:rsidR="00C33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958" w:rsidRDefault="0054479C" w:rsidP="0054479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2431" cy="2339163"/>
            <wp:effectExtent l="19050" t="0" r="20719" b="3987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4479C" w:rsidRDefault="0054479C" w:rsidP="005A63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50" w:rsidRDefault="008460B0" w:rsidP="005A63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тенденцию снижения расходов на содержание дирекции Фонда</w:t>
      </w:r>
      <w:r w:rsidR="00E20C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удалось улучшить материально-техническое снабжение территориальных подразделений</w:t>
      </w:r>
      <w:r w:rsidR="009A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канцтоварами, бланочной продукцией,  </w:t>
      </w:r>
      <w:r w:rsidR="003A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наглядно-агитационными материалами.</w:t>
      </w:r>
    </w:p>
    <w:p w:rsidR="00D37050" w:rsidRDefault="00D37050" w:rsidP="005A63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73" w:rsidRDefault="008460B0" w:rsidP="005A63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39AC" w:rsidRPr="006D2C16" w:rsidRDefault="006D2C16" w:rsidP="006D2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ревизия</w:t>
      </w:r>
    </w:p>
    <w:p w:rsidR="00EA39AC" w:rsidRDefault="00EA39AC" w:rsidP="001F3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9AC" w:rsidRPr="00EA39AC" w:rsidRDefault="00EA39AC" w:rsidP="0020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 осуществляет контроль за</w:t>
      </w:r>
      <w:r w:rsidR="0018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</w:t>
      </w:r>
      <w:r w:rsidRPr="00E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рациональным использованием </w:t>
      </w:r>
      <w:r w:rsidR="001B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Pr="00EA3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средств, в том числе контроль за назначением, выплатой и доставкой пенсий, пособий, компенсаций.</w:t>
      </w:r>
    </w:p>
    <w:p w:rsidR="00EA39AC" w:rsidRPr="00EA39AC" w:rsidRDefault="006D2C16" w:rsidP="0072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2013-2014 годы п</w:t>
      </w:r>
      <w:r w:rsidR="00EA39AC" w:rsidRPr="00E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роведены  7 плановых и </w:t>
      </w:r>
      <w:r w:rsidR="00EA39AC"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>2 внеплановые</w:t>
      </w:r>
      <w:r w:rsidR="00EA39AC" w:rsidRPr="00E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 w:rsidR="00EA39AC"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назначению и выплате пенсий, пособий, компенсаций Центров социального страхования и социальной защиты, в ходе которых проверено 9</w:t>
      </w:r>
      <w:r w:rsidR="00805B6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EA39AC"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805B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</w:t>
      </w:r>
      <w:r w:rsidR="00EA39AC"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пенсионных дел.  Кроме того,  </w:t>
      </w:r>
      <w:r w:rsidR="00805B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контрольно-ревизионным управлением </w:t>
      </w:r>
      <w:r w:rsidR="00EA39AC"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проверено 5</w:t>
      </w:r>
      <w:r w:rsidR="00805B65">
        <w:rPr>
          <w:rFonts w:ascii="Times New Roman" w:eastAsia="Times New Roman" w:hAnsi="Times New Roman" w:cs="Times New Roman"/>
          <w:sz w:val="23"/>
          <w:szCs w:val="23"/>
          <w:lang w:eastAsia="ru-RU"/>
        </w:rPr>
        <w:t>,9 тыс.</w:t>
      </w:r>
      <w:r w:rsidR="00EA39AC"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пенсионных дел, поступивших на контроль. Всего количество дел, проверенных за 2013-2014 годы составило 15</w:t>
      </w:r>
      <w:r w:rsidR="00805B65">
        <w:rPr>
          <w:rFonts w:ascii="Times New Roman" w:eastAsia="Times New Roman" w:hAnsi="Times New Roman" w:cs="Times New Roman"/>
          <w:sz w:val="23"/>
          <w:szCs w:val="23"/>
          <w:lang w:eastAsia="ru-RU"/>
        </w:rPr>
        <w:t>,4 тыс. дел</w:t>
      </w:r>
      <w:r w:rsidR="00EA39AC"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EA39AC" w:rsidRPr="00EA39AC" w:rsidRDefault="00EA39AC" w:rsidP="0072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9AC" w:rsidRPr="00EA39AC" w:rsidRDefault="00EA39AC" w:rsidP="00EA3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A39AC" w:rsidRPr="00EA39AC" w:rsidRDefault="00EA39AC" w:rsidP="00EA3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39AC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605574" cy="3019647"/>
            <wp:effectExtent l="19050" t="0" r="0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A39AC" w:rsidRPr="00EA39AC" w:rsidRDefault="00EA39AC" w:rsidP="00EA3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A39AC" w:rsidRPr="00EA39AC" w:rsidRDefault="00EA39AC" w:rsidP="00EA3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A39AC" w:rsidRPr="00EA39AC" w:rsidRDefault="00EA39AC" w:rsidP="00EA3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A39AC" w:rsidRPr="00EA39AC" w:rsidRDefault="00EA39AC" w:rsidP="00EA3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Проведено 67 мероприятий по контролю за правильностью  применения законодательства по социальному страхованию работающих граждан,  две совместные  проверки со Счетной палатой ПМР  ГУП Оздоровительный комплекс «Днестровские зори» и ГУП «Центральная районная больница г. Григориополь» на предмет целевого использования средств бюджета </w:t>
      </w:r>
      <w:r w:rsidR="00C776F3">
        <w:rPr>
          <w:rFonts w:ascii="Times New Roman" w:eastAsia="Times New Roman" w:hAnsi="Times New Roman" w:cs="Times New Roman"/>
          <w:sz w:val="23"/>
          <w:szCs w:val="23"/>
          <w:lang w:eastAsia="ru-RU"/>
        </w:rPr>
        <w:t>Фонда</w:t>
      </w:r>
      <w:r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A84E7A" w:rsidRPr="0072020F" w:rsidRDefault="00EA39AC" w:rsidP="0072020F">
      <w:pPr>
        <w:tabs>
          <w:tab w:val="left" w:pos="180"/>
          <w:tab w:val="left" w:pos="360"/>
          <w:tab w:val="left" w:pos="54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="00C776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выявленным  нарушениям </w:t>
      </w:r>
      <w:r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мероприятий по контролю составлены  акты для принятия мер по возврату излишне выплаченных сумм в соответствии  с действующим законодательством.</w:t>
      </w:r>
    </w:p>
    <w:p w:rsidR="006D2C16" w:rsidRDefault="00A84E7A" w:rsidP="0077171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7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рамках реализации функций  Фонда в целях повышения профессионального уровня сотрудников Центров СС и СЗ </w:t>
      </w:r>
      <w:r w:rsidRPr="00A84E7A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A39AC" w:rsidRPr="00EA39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роведены пять  семинаров     по изучению действующего законодательства, внесенных </w:t>
      </w:r>
      <w:r w:rsidR="00EA39AC" w:rsidRPr="00E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 в нормативно-правовые акты.</w:t>
      </w:r>
    </w:p>
    <w:p w:rsidR="006D2C16" w:rsidRDefault="006D2C16" w:rsidP="00771717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16" w:rsidRDefault="006D2C16" w:rsidP="002023C3">
      <w:pPr>
        <w:ind w:firstLine="567"/>
        <w:jc w:val="both"/>
      </w:pPr>
      <w:r w:rsidRPr="00023A73">
        <w:rPr>
          <w:rFonts w:ascii="Times New Roman" w:hAnsi="Times New Roman" w:cs="Times New Roman"/>
          <w:sz w:val="24"/>
          <w:szCs w:val="24"/>
        </w:rPr>
        <w:t xml:space="preserve">В 2014 году документооборот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023A73">
        <w:rPr>
          <w:rFonts w:ascii="Times New Roman" w:hAnsi="Times New Roman" w:cs="Times New Roman"/>
          <w:sz w:val="24"/>
          <w:szCs w:val="24"/>
        </w:rPr>
        <w:t xml:space="preserve"> увеличился как по</w:t>
      </w:r>
      <w:r>
        <w:rPr>
          <w:rFonts w:ascii="Times New Roman" w:hAnsi="Times New Roman" w:cs="Times New Roman"/>
          <w:sz w:val="24"/>
          <w:szCs w:val="24"/>
        </w:rPr>
        <w:t xml:space="preserve"> письмам </w:t>
      </w:r>
      <w:r w:rsidRPr="00023A73">
        <w:rPr>
          <w:rFonts w:ascii="Times New Roman" w:hAnsi="Times New Roman" w:cs="Times New Roman"/>
          <w:sz w:val="24"/>
          <w:szCs w:val="24"/>
        </w:rPr>
        <w:t xml:space="preserve"> входящ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23A73">
        <w:rPr>
          <w:rFonts w:ascii="Times New Roman" w:hAnsi="Times New Roman" w:cs="Times New Roman"/>
          <w:sz w:val="24"/>
          <w:szCs w:val="24"/>
        </w:rPr>
        <w:t>, так по</w:t>
      </w:r>
      <w:r>
        <w:rPr>
          <w:rFonts w:ascii="Times New Roman" w:hAnsi="Times New Roman" w:cs="Times New Roman"/>
          <w:sz w:val="24"/>
          <w:szCs w:val="24"/>
        </w:rPr>
        <w:t xml:space="preserve"> письмам </w:t>
      </w:r>
      <w:r w:rsidRPr="00023A73">
        <w:rPr>
          <w:rFonts w:ascii="Times New Roman" w:hAnsi="Times New Roman" w:cs="Times New Roman"/>
          <w:sz w:val="24"/>
          <w:szCs w:val="24"/>
        </w:rPr>
        <w:t xml:space="preserve"> исходящ</w:t>
      </w:r>
      <w:r>
        <w:rPr>
          <w:rFonts w:ascii="Times New Roman" w:hAnsi="Times New Roman" w:cs="Times New Roman"/>
          <w:sz w:val="24"/>
          <w:szCs w:val="24"/>
        </w:rPr>
        <w:t xml:space="preserve">ей документации </w:t>
      </w:r>
      <w:r w:rsidR="002023C3">
        <w:rPr>
          <w:rFonts w:ascii="Times New Roman" w:hAnsi="Times New Roman" w:cs="Times New Roman"/>
          <w:sz w:val="24"/>
          <w:szCs w:val="24"/>
        </w:rPr>
        <w:t xml:space="preserve"> в среднем на 900 шт.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2012 и 2013 годами.</w:t>
      </w:r>
    </w:p>
    <w:p w:rsidR="00BA53EB" w:rsidRDefault="00BA53EB" w:rsidP="00B67890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29331" cy="4125433"/>
            <wp:effectExtent l="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A53EB" w:rsidRDefault="00BA53EB" w:rsidP="00B67890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023C3" w:rsidRDefault="002023C3" w:rsidP="00B6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3C3" w:rsidRDefault="002023C3" w:rsidP="00B6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890" w:rsidRPr="00065C71" w:rsidRDefault="00B67890" w:rsidP="00B6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71">
        <w:rPr>
          <w:rFonts w:ascii="Times New Roman" w:eastAsia="Calibri" w:hAnsi="Times New Roman" w:cs="Times New Roman"/>
          <w:sz w:val="24"/>
          <w:szCs w:val="24"/>
        </w:rPr>
        <w:t>Структурные подразделения Фонда  обеспечены комплексом вспомогательных программ, призванных упростить их функционирование.</w:t>
      </w:r>
    </w:p>
    <w:p w:rsidR="00B67890" w:rsidRDefault="00B67890" w:rsidP="00B6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71">
        <w:rPr>
          <w:rFonts w:ascii="Times New Roman" w:eastAsia="Calibri" w:hAnsi="Times New Roman" w:cs="Times New Roman"/>
          <w:sz w:val="24"/>
          <w:szCs w:val="24"/>
        </w:rPr>
        <w:t xml:space="preserve">Созданы и функционируют программные подсистемы: </w:t>
      </w:r>
    </w:p>
    <w:p w:rsidR="00B67890" w:rsidRPr="00B67890" w:rsidRDefault="00B67890" w:rsidP="00B6789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890">
        <w:rPr>
          <w:rFonts w:ascii="Times New Roman" w:eastAsia="Calibri" w:hAnsi="Times New Roman" w:cs="Times New Roman"/>
          <w:sz w:val="24"/>
          <w:szCs w:val="24"/>
        </w:rPr>
        <w:t xml:space="preserve">для  учета пенсионных дел, детских пособий; </w:t>
      </w:r>
    </w:p>
    <w:p w:rsidR="00B67890" w:rsidRPr="00B67890" w:rsidRDefault="00B67890" w:rsidP="00B6789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890">
        <w:rPr>
          <w:rFonts w:ascii="Times New Roman" w:eastAsia="Calibri" w:hAnsi="Times New Roman" w:cs="Times New Roman"/>
          <w:sz w:val="24"/>
          <w:szCs w:val="24"/>
        </w:rPr>
        <w:t xml:space="preserve">выплаченных пенсий и пособий; учета многодетных семей; </w:t>
      </w:r>
    </w:p>
    <w:p w:rsidR="00B67890" w:rsidRDefault="00B67890" w:rsidP="00B6789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890">
        <w:rPr>
          <w:rFonts w:ascii="Times New Roman" w:eastAsia="Calibri" w:hAnsi="Times New Roman" w:cs="Times New Roman"/>
          <w:sz w:val="24"/>
          <w:szCs w:val="24"/>
        </w:rPr>
        <w:t>расчета  стажа работы, учета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льготных категорий пенсионеров.</w:t>
      </w:r>
    </w:p>
    <w:p w:rsidR="00B67890" w:rsidRDefault="00D42D41" w:rsidP="00D42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П</w:t>
      </w:r>
      <w:r w:rsidR="00B67890">
        <w:rPr>
          <w:rFonts w:ascii="Times New Roman" w:eastAsia="Calibri" w:hAnsi="Times New Roman" w:cs="Times New Roman"/>
          <w:sz w:val="24"/>
          <w:szCs w:val="24"/>
        </w:rPr>
        <w:t xml:space="preserve">рограммы  </w:t>
      </w:r>
      <w:r w:rsidR="00B67890" w:rsidRPr="00065C71">
        <w:rPr>
          <w:rFonts w:ascii="Times New Roman" w:eastAsia="Calibri" w:hAnsi="Times New Roman" w:cs="Times New Roman"/>
          <w:sz w:val="24"/>
          <w:szCs w:val="24"/>
        </w:rPr>
        <w:t>«Персонифицированный учет» и  «Персонифицированный  учет для организаций»</w:t>
      </w:r>
      <w:r w:rsidR="00B678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7890" w:rsidRPr="00065C71">
        <w:rPr>
          <w:rFonts w:ascii="Times New Roman" w:eastAsia="Calibri" w:hAnsi="Times New Roman" w:cs="Times New Roman"/>
          <w:sz w:val="24"/>
          <w:szCs w:val="24"/>
        </w:rPr>
        <w:t xml:space="preserve">«Программа </w:t>
      </w:r>
      <w:r w:rsidR="00B67890">
        <w:rPr>
          <w:rFonts w:ascii="Times New Roman" w:eastAsia="Calibri" w:hAnsi="Times New Roman" w:cs="Times New Roman"/>
          <w:sz w:val="24"/>
          <w:szCs w:val="24"/>
        </w:rPr>
        <w:t>учета безработных граждан».</w:t>
      </w:r>
    </w:p>
    <w:p w:rsidR="00B67890" w:rsidRDefault="00B67890" w:rsidP="00B678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выполнения возложенных на работников Фонда функций необходимо осуществить модернизацию </w:t>
      </w:r>
      <w:r w:rsidR="00D42D41">
        <w:rPr>
          <w:rFonts w:ascii="Times New Roman" w:eastAsia="Calibri" w:hAnsi="Times New Roman" w:cs="Times New Roman"/>
          <w:sz w:val="24"/>
          <w:szCs w:val="24"/>
        </w:rPr>
        <w:t>некоторых сегментов действующего программного обеспечения.</w:t>
      </w:r>
    </w:p>
    <w:p w:rsidR="00B67890" w:rsidRDefault="00B67890" w:rsidP="004407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356" w:rsidRDefault="00ED6145" w:rsidP="0076276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Работниками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 xml:space="preserve"> Фонда </w:t>
      </w:r>
      <w:r w:rsidR="00564356">
        <w:rPr>
          <w:rFonts w:ascii="Times New Roman" w:eastAsia="Calibri" w:hAnsi="Times New Roman" w:cs="Times New Roman"/>
          <w:sz w:val="24"/>
          <w:szCs w:val="24"/>
        </w:rPr>
        <w:t>оказыва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ется </w:t>
      </w:r>
      <w:r w:rsidR="00564356">
        <w:rPr>
          <w:rFonts w:ascii="Times New Roman" w:eastAsia="Calibri" w:hAnsi="Times New Roman" w:cs="Times New Roman"/>
          <w:sz w:val="24"/>
          <w:szCs w:val="24"/>
        </w:rPr>
        <w:t xml:space="preserve"> помощь ученикам 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>Парканск</w:t>
      </w:r>
      <w:r w:rsidR="00564356">
        <w:rPr>
          <w:rFonts w:ascii="Times New Roman" w:eastAsia="Calibri" w:hAnsi="Times New Roman" w:cs="Times New Roman"/>
          <w:sz w:val="24"/>
          <w:szCs w:val="24"/>
        </w:rPr>
        <w:t>ой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 xml:space="preserve">  школ</w:t>
      </w:r>
      <w:r w:rsidR="00564356">
        <w:rPr>
          <w:rFonts w:ascii="Times New Roman" w:eastAsia="Calibri" w:hAnsi="Times New Roman" w:cs="Times New Roman"/>
          <w:sz w:val="24"/>
          <w:szCs w:val="24"/>
        </w:rPr>
        <w:t>ы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>-интернат</w:t>
      </w:r>
      <w:r w:rsidR="00564356">
        <w:rPr>
          <w:rFonts w:ascii="Times New Roman" w:eastAsia="Calibri" w:hAnsi="Times New Roman" w:cs="Times New Roman"/>
          <w:sz w:val="24"/>
          <w:szCs w:val="24"/>
        </w:rPr>
        <w:t>а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 xml:space="preserve">. В свое свободное от работы время </w:t>
      </w:r>
      <w:r w:rsidR="00564356">
        <w:rPr>
          <w:rFonts w:ascii="Times New Roman" w:eastAsia="Calibri" w:hAnsi="Times New Roman" w:cs="Times New Roman"/>
          <w:sz w:val="24"/>
          <w:szCs w:val="24"/>
        </w:rPr>
        <w:t>работниками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 xml:space="preserve"> Фонда производилась </w:t>
      </w:r>
      <w:r w:rsidR="00564356">
        <w:rPr>
          <w:rFonts w:ascii="Times New Roman" w:eastAsia="Calibri" w:hAnsi="Times New Roman" w:cs="Times New Roman"/>
          <w:sz w:val="24"/>
          <w:szCs w:val="24"/>
        </w:rPr>
        <w:t xml:space="preserve">облагораживание 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564356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>,</w:t>
      </w:r>
      <w:r w:rsidR="00564356">
        <w:rPr>
          <w:rFonts w:ascii="Times New Roman" w:eastAsia="Calibri" w:hAnsi="Times New Roman" w:cs="Times New Roman"/>
          <w:sz w:val="24"/>
          <w:szCs w:val="24"/>
        </w:rPr>
        <w:t xml:space="preserve"> установлена металлическая дверь в здании школы, заменены </w:t>
      </w:r>
      <w:r w:rsidR="00D42D41" w:rsidRPr="00D42D41">
        <w:rPr>
          <w:rFonts w:ascii="Times New Roman" w:eastAsia="Calibri" w:hAnsi="Times New Roman" w:cs="Times New Roman"/>
          <w:sz w:val="24"/>
          <w:szCs w:val="24"/>
        </w:rPr>
        <w:t xml:space="preserve"> светильник</w:t>
      </w:r>
      <w:r w:rsidR="00564356">
        <w:rPr>
          <w:rFonts w:ascii="Times New Roman" w:eastAsia="Calibri" w:hAnsi="Times New Roman" w:cs="Times New Roman"/>
          <w:sz w:val="24"/>
          <w:szCs w:val="24"/>
        </w:rPr>
        <w:t xml:space="preserve">и.  За счет собранных </w:t>
      </w:r>
      <w:r w:rsidR="00564356" w:rsidRPr="00D42D41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="00564356">
        <w:rPr>
          <w:rFonts w:ascii="Times New Roman" w:eastAsia="Calibri" w:hAnsi="Times New Roman" w:cs="Times New Roman"/>
          <w:sz w:val="24"/>
          <w:szCs w:val="24"/>
        </w:rPr>
        <w:t>ами</w:t>
      </w:r>
      <w:r w:rsidR="00564356" w:rsidRPr="00D42D41">
        <w:rPr>
          <w:rFonts w:ascii="Times New Roman" w:eastAsia="Calibri" w:hAnsi="Times New Roman" w:cs="Times New Roman"/>
          <w:sz w:val="24"/>
          <w:szCs w:val="24"/>
        </w:rPr>
        <w:t xml:space="preserve"> Фонда</w:t>
      </w:r>
      <w:r w:rsidR="00564356">
        <w:rPr>
          <w:rFonts w:ascii="Times New Roman" w:eastAsia="Calibri" w:hAnsi="Times New Roman" w:cs="Times New Roman"/>
          <w:sz w:val="24"/>
          <w:szCs w:val="24"/>
        </w:rPr>
        <w:t xml:space="preserve"> средств приобретены  предметы мебели для создания уюта в жилых комнатах для ребят.Кроме того, Фонд принимал участие в организации празднования </w:t>
      </w:r>
      <w:r w:rsidR="00B75DCF">
        <w:rPr>
          <w:rFonts w:ascii="Times New Roman" w:eastAsia="Calibri" w:hAnsi="Times New Roman" w:cs="Times New Roman"/>
          <w:sz w:val="24"/>
          <w:szCs w:val="24"/>
        </w:rPr>
        <w:t xml:space="preserve"> Дня защиты детей и </w:t>
      </w:r>
      <w:r w:rsidR="00564356">
        <w:rPr>
          <w:rFonts w:ascii="Times New Roman" w:eastAsia="Calibri" w:hAnsi="Times New Roman" w:cs="Times New Roman"/>
          <w:sz w:val="24"/>
          <w:szCs w:val="24"/>
        </w:rPr>
        <w:t>нового года</w:t>
      </w:r>
      <w:r w:rsidR="00B75DCF">
        <w:rPr>
          <w:rFonts w:ascii="Times New Roman" w:eastAsia="Calibri" w:hAnsi="Times New Roman" w:cs="Times New Roman"/>
          <w:sz w:val="24"/>
          <w:szCs w:val="24"/>
        </w:rPr>
        <w:t>. Детям были</w:t>
      </w:r>
      <w:r w:rsidR="00564356">
        <w:rPr>
          <w:rFonts w:ascii="Times New Roman" w:eastAsia="Calibri" w:hAnsi="Times New Roman" w:cs="Times New Roman"/>
          <w:sz w:val="24"/>
          <w:szCs w:val="24"/>
        </w:rPr>
        <w:t xml:space="preserve"> приобретены </w:t>
      </w:r>
      <w:r w:rsidR="00564356" w:rsidRPr="00D42D41">
        <w:rPr>
          <w:rFonts w:ascii="Times New Roman" w:eastAsia="Calibri" w:hAnsi="Times New Roman" w:cs="Times New Roman"/>
          <w:sz w:val="24"/>
          <w:szCs w:val="24"/>
        </w:rPr>
        <w:t>новогодние украшения и подарки</w:t>
      </w:r>
      <w:r w:rsidR="005643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0C8B" w:rsidRPr="009F0C8B" w:rsidRDefault="009F0C8B" w:rsidP="009F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Также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доставки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 Тираспольского Центра СС и СЗ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сентября 2013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посещают </w:t>
      </w:r>
      <w:r w:rsidRPr="009F0C8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занятия по обучению приемам самообороны в последние 3 (три) рабочих дня месяца на базе спортивного комплекса ГОУ «ТЮИ им. М.И. Кутузова» МВД ПМР на безвозмездной основе в течение 2 (двух) часов.</w:t>
      </w:r>
    </w:p>
    <w:p w:rsidR="009F0C8B" w:rsidRDefault="009F0C8B" w:rsidP="00D42D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C8B" w:rsidRDefault="009F0C8B" w:rsidP="00ED6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145" w:rsidRPr="00ED6145" w:rsidRDefault="00ED6145" w:rsidP="00ED6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Первоочередными задачами </w:t>
      </w:r>
      <w:r w:rsidRPr="00440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Фонда</w:t>
      </w:r>
      <w:r w:rsidRPr="00ED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2015 год  являются:</w:t>
      </w:r>
    </w:p>
    <w:p w:rsidR="00ED6145" w:rsidRPr="00ED6145" w:rsidRDefault="00ED6145" w:rsidP="00ED614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эффективная организация  социальных выплат, производимых Фондом;</w:t>
      </w:r>
    </w:p>
    <w:p w:rsidR="00ED6145" w:rsidRPr="00ED6145" w:rsidRDefault="00ED6145" w:rsidP="00ED614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работы по разъяснению действующего законодательства;</w:t>
      </w:r>
    </w:p>
    <w:p w:rsidR="00ED6145" w:rsidRPr="006F1B3B" w:rsidRDefault="00ED6145" w:rsidP="006F1B3B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3B">
        <w:rPr>
          <w:rFonts w:ascii="Times New Roman" w:eastAsia="Calibri" w:hAnsi="Times New Roman" w:cs="Times New Roman"/>
          <w:sz w:val="24"/>
          <w:szCs w:val="24"/>
        </w:rPr>
        <w:t>разработка информационных программ</w:t>
      </w:r>
      <w:r w:rsidR="006F1B3B">
        <w:rPr>
          <w:rFonts w:ascii="Times New Roman" w:eastAsia="Calibri" w:hAnsi="Times New Roman" w:cs="Times New Roman"/>
          <w:sz w:val="24"/>
          <w:szCs w:val="24"/>
        </w:rPr>
        <w:t>,</w:t>
      </w:r>
      <w:r w:rsidRPr="006F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</w:t>
      </w:r>
      <w:r w:rsidRPr="006F1B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спечивающих исполнение функций по пенси</w:t>
      </w:r>
      <w:r w:rsidRPr="006F1B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онному и социальному обеспечению;</w:t>
      </w:r>
    </w:p>
    <w:p w:rsidR="006F1B3B" w:rsidRDefault="006F1B3B" w:rsidP="006F1B3B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освещение </w:t>
      </w:r>
      <w:r w:rsidR="00ED6145" w:rsidRPr="006F1B3B">
        <w:rPr>
          <w:rFonts w:ascii="Times New Roman" w:eastAsia="Calibri" w:hAnsi="Times New Roman" w:cs="Times New Roman"/>
          <w:sz w:val="24"/>
          <w:szCs w:val="24"/>
        </w:rPr>
        <w:t xml:space="preserve">деятельности  </w:t>
      </w:r>
      <w:r>
        <w:rPr>
          <w:rFonts w:ascii="Times New Roman" w:eastAsia="Calibri" w:hAnsi="Times New Roman" w:cs="Times New Roman"/>
          <w:sz w:val="24"/>
          <w:szCs w:val="24"/>
        </w:rPr>
        <w:t>Фонда  в  средствах массовой информации;</w:t>
      </w:r>
    </w:p>
    <w:p w:rsidR="00ED6145" w:rsidRDefault="006F1B3B" w:rsidP="006F1B3B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информирование  населения о текущей деятел</w:t>
      </w:r>
      <w:r w:rsidR="004C0BD2">
        <w:rPr>
          <w:rFonts w:ascii="Times New Roman" w:eastAsia="Calibri" w:hAnsi="Times New Roman" w:cs="Times New Roman"/>
          <w:sz w:val="24"/>
          <w:szCs w:val="24"/>
        </w:rPr>
        <w:t>ьности органов Фонда;</w:t>
      </w:r>
    </w:p>
    <w:p w:rsidR="00762760" w:rsidRDefault="004C0BD2" w:rsidP="006F1B3B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постоянный мониторинг ситуации в части поступления доходов Фонда и осуществляемых им расходов</w:t>
      </w:r>
      <w:r w:rsidR="00BD0DC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C0BD2" w:rsidRDefault="00762760" w:rsidP="006F1B3B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мониторинг ситуации на </w:t>
      </w:r>
      <w:r w:rsidR="00BD0DCC">
        <w:rPr>
          <w:rFonts w:ascii="Times New Roman" w:eastAsia="Calibri" w:hAnsi="Times New Roman" w:cs="Times New Roman"/>
          <w:sz w:val="24"/>
          <w:szCs w:val="24"/>
        </w:rPr>
        <w:t>рынк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D0DCC">
        <w:rPr>
          <w:rFonts w:ascii="Times New Roman" w:eastAsia="Calibri" w:hAnsi="Times New Roman" w:cs="Times New Roman"/>
          <w:sz w:val="24"/>
          <w:szCs w:val="24"/>
        </w:rPr>
        <w:t xml:space="preserve"> труда</w:t>
      </w:r>
      <w:r w:rsidR="009A63E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64E5" w:rsidRDefault="009A63EA" w:rsidP="006F1B3B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положительного опыта зарубежных государств по усовершенствованию </w:t>
      </w:r>
      <w:r w:rsidR="00BD0DCC">
        <w:rPr>
          <w:rFonts w:ascii="Times New Roman" w:eastAsia="Calibri" w:hAnsi="Times New Roman" w:cs="Times New Roman"/>
          <w:sz w:val="24"/>
          <w:szCs w:val="24"/>
        </w:rPr>
        <w:t>пенсионн</w:t>
      </w:r>
      <w:r w:rsidR="00762760">
        <w:rPr>
          <w:rFonts w:ascii="Times New Roman" w:eastAsia="Calibri" w:hAnsi="Times New Roman" w:cs="Times New Roman"/>
          <w:sz w:val="24"/>
          <w:szCs w:val="24"/>
        </w:rPr>
        <w:t>о</w:t>
      </w:r>
      <w:r w:rsidR="00BD0DCC">
        <w:rPr>
          <w:rFonts w:ascii="Times New Roman" w:eastAsia="Calibri" w:hAnsi="Times New Roman" w:cs="Times New Roman"/>
          <w:sz w:val="24"/>
          <w:szCs w:val="24"/>
        </w:rPr>
        <w:t>й системы, системы социального страхования граждан</w:t>
      </w:r>
      <w:r w:rsidR="00762760">
        <w:rPr>
          <w:rFonts w:ascii="Times New Roman" w:eastAsia="Calibri" w:hAnsi="Times New Roman" w:cs="Times New Roman"/>
          <w:sz w:val="24"/>
          <w:szCs w:val="24"/>
        </w:rPr>
        <w:t>, в сфере занятости населения</w:t>
      </w:r>
      <w:r w:rsidR="002364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63EA" w:rsidRDefault="002364E5" w:rsidP="006F1B3B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оптимизация расходов на содержание аппарата Фонда.</w:t>
      </w:r>
      <w:r w:rsidR="009A6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1B3B" w:rsidRPr="006F1B3B" w:rsidRDefault="006F1B3B" w:rsidP="006F1B3B">
      <w:pPr>
        <w:pStyle w:val="a9"/>
        <w:shd w:val="clear" w:color="auto" w:fill="FFFFFF"/>
        <w:spacing w:after="0" w:line="240" w:lineRule="auto"/>
        <w:ind w:left="7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6145" w:rsidRPr="00ED6145" w:rsidRDefault="00ED6145" w:rsidP="00ED6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45">
        <w:rPr>
          <w:rFonts w:ascii="Times New Roman" w:eastAsia="Calibri" w:hAnsi="Times New Roman" w:cs="Times New Roman"/>
          <w:sz w:val="24"/>
          <w:szCs w:val="24"/>
        </w:rPr>
        <w:t xml:space="preserve">        Несмотря на  серьезные экономические трудности, сложившиеся в связи  недостаточным </w:t>
      </w:r>
      <w:r w:rsidRPr="00ED61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поступлением денежных средств и дефицитом  бюджета Фонда,   в 2015  году </w:t>
      </w:r>
      <w:r w:rsidR="00780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Фонд приложит усилия </w:t>
      </w:r>
      <w:r w:rsidRPr="00ED61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выполнению </w:t>
      </w:r>
      <w:r w:rsidR="00780641">
        <w:rPr>
          <w:rFonts w:ascii="Times New Roman" w:eastAsia="Calibri" w:hAnsi="Times New Roman" w:cs="Times New Roman"/>
          <w:sz w:val="24"/>
          <w:szCs w:val="24"/>
        </w:rPr>
        <w:t xml:space="preserve">возложенных на него </w:t>
      </w:r>
      <w:r w:rsidR="00780641" w:rsidRPr="00ED6145">
        <w:rPr>
          <w:rFonts w:ascii="Times New Roman" w:eastAsia="Calibri" w:hAnsi="Times New Roman" w:cs="Times New Roman"/>
          <w:sz w:val="24"/>
          <w:szCs w:val="24"/>
        </w:rPr>
        <w:t>задач</w:t>
      </w:r>
      <w:r w:rsidR="00780641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ED6145" w:rsidRPr="00ED6145" w:rsidSect="003D12DD">
      <w:footerReference w:type="default" r:id="rId28"/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4D" w:rsidRDefault="003F384D" w:rsidP="002E7413">
      <w:pPr>
        <w:spacing w:after="0" w:line="240" w:lineRule="auto"/>
      </w:pPr>
      <w:r>
        <w:separator/>
      </w:r>
    </w:p>
  </w:endnote>
  <w:endnote w:type="continuationSeparator" w:id="1">
    <w:p w:rsidR="003F384D" w:rsidRDefault="003F384D" w:rsidP="002E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9641"/>
      <w:docPartObj>
        <w:docPartGallery w:val="Page Numbers (Bottom of Page)"/>
        <w:docPartUnique/>
      </w:docPartObj>
    </w:sdtPr>
    <w:sdtContent>
      <w:p w:rsidR="00E9662E" w:rsidRDefault="00D82E14">
        <w:pPr>
          <w:pStyle w:val="ac"/>
          <w:jc w:val="center"/>
        </w:pPr>
        <w:fldSimple w:instr=" PAGE   \* MERGEFORMAT ">
          <w:r w:rsidR="006D4B12">
            <w:rPr>
              <w:noProof/>
            </w:rPr>
            <w:t>3</w:t>
          </w:r>
        </w:fldSimple>
      </w:p>
    </w:sdtContent>
  </w:sdt>
  <w:p w:rsidR="00E9662E" w:rsidRDefault="00E966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4D" w:rsidRDefault="003F384D" w:rsidP="002E7413">
      <w:pPr>
        <w:spacing w:after="0" w:line="240" w:lineRule="auto"/>
      </w:pPr>
      <w:r>
        <w:separator/>
      </w:r>
    </w:p>
  </w:footnote>
  <w:footnote w:type="continuationSeparator" w:id="1">
    <w:p w:rsidR="003F384D" w:rsidRDefault="003F384D" w:rsidP="002E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23F"/>
    <w:multiLevelType w:val="hybridMultilevel"/>
    <w:tmpl w:val="D3865DB4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38EE4CE6"/>
    <w:multiLevelType w:val="hybridMultilevel"/>
    <w:tmpl w:val="9BCEA73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4AF308ED"/>
    <w:multiLevelType w:val="hybridMultilevel"/>
    <w:tmpl w:val="29726FFA"/>
    <w:lvl w:ilvl="0" w:tplc="A9E08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5116E"/>
    <w:multiLevelType w:val="hybridMultilevel"/>
    <w:tmpl w:val="B95A625C"/>
    <w:lvl w:ilvl="0" w:tplc="7B643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B70BAB"/>
    <w:multiLevelType w:val="hybridMultilevel"/>
    <w:tmpl w:val="3B0246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A14BC"/>
    <w:multiLevelType w:val="hybridMultilevel"/>
    <w:tmpl w:val="6ACEED48"/>
    <w:lvl w:ilvl="0" w:tplc="4306B67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996E05"/>
    <w:multiLevelType w:val="hybridMultilevel"/>
    <w:tmpl w:val="F37ECD8E"/>
    <w:lvl w:ilvl="0" w:tplc="0419000F">
      <w:start w:val="1"/>
      <w:numFmt w:val="decimal"/>
      <w:lvlText w:val="%1."/>
      <w:lvlJc w:val="left"/>
      <w:pPr>
        <w:ind w:left="1993" w:hanging="360"/>
      </w:p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7">
    <w:nsid w:val="748C689A"/>
    <w:multiLevelType w:val="hybridMultilevel"/>
    <w:tmpl w:val="4BE603FA"/>
    <w:lvl w:ilvl="0" w:tplc="A9E08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95EF0"/>
    <w:multiLevelType w:val="hybridMultilevel"/>
    <w:tmpl w:val="DE8A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7EF"/>
    <w:rsid w:val="000008DA"/>
    <w:rsid w:val="00015B20"/>
    <w:rsid w:val="00017765"/>
    <w:rsid w:val="00022435"/>
    <w:rsid w:val="00043055"/>
    <w:rsid w:val="000447B9"/>
    <w:rsid w:val="00052986"/>
    <w:rsid w:val="00054F73"/>
    <w:rsid w:val="00061E39"/>
    <w:rsid w:val="00065C71"/>
    <w:rsid w:val="000673D7"/>
    <w:rsid w:val="00072683"/>
    <w:rsid w:val="000940FF"/>
    <w:rsid w:val="000B2DC4"/>
    <w:rsid w:val="000E4E54"/>
    <w:rsid w:val="001104A9"/>
    <w:rsid w:val="0011127C"/>
    <w:rsid w:val="00160922"/>
    <w:rsid w:val="00161CA4"/>
    <w:rsid w:val="001625A6"/>
    <w:rsid w:val="001869DF"/>
    <w:rsid w:val="00187A15"/>
    <w:rsid w:val="00190858"/>
    <w:rsid w:val="00191A7B"/>
    <w:rsid w:val="0019536A"/>
    <w:rsid w:val="001B127A"/>
    <w:rsid w:val="001B16C7"/>
    <w:rsid w:val="001B6C11"/>
    <w:rsid w:val="001C17A4"/>
    <w:rsid w:val="001C2379"/>
    <w:rsid w:val="001C2540"/>
    <w:rsid w:val="001D6917"/>
    <w:rsid w:val="001E0F0E"/>
    <w:rsid w:val="001E142F"/>
    <w:rsid w:val="001E2A88"/>
    <w:rsid w:val="001F3065"/>
    <w:rsid w:val="002023C3"/>
    <w:rsid w:val="00203227"/>
    <w:rsid w:val="002055C6"/>
    <w:rsid w:val="00223F43"/>
    <w:rsid w:val="0022404B"/>
    <w:rsid w:val="002364E5"/>
    <w:rsid w:val="00237F24"/>
    <w:rsid w:val="002404DB"/>
    <w:rsid w:val="0026313E"/>
    <w:rsid w:val="002747E5"/>
    <w:rsid w:val="00281F78"/>
    <w:rsid w:val="0028716E"/>
    <w:rsid w:val="0029709B"/>
    <w:rsid w:val="002A2ECC"/>
    <w:rsid w:val="002A6D7E"/>
    <w:rsid w:val="002C00C6"/>
    <w:rsid w:val="002C5D3F"/>
    <w:rsid w:val="002D34DE"/>
    <w:rsid w:val="002E2D46"/>
    <w:rsid w:val="002E315D"/>
    <w:rsid w:val="002E7413"/>
    <w:rsid w:val="002F295B"/>
    <w:rsid w:val="00301C48"/>
    <w:rsid w:val="0031487F"/>
    <w:rsid w:val="003609BB"/>
    <w:rsid w:val="003631EE"/>
    <w:rsid w:val="00366EA8"/>
    <w:rsid w:val="00367758"/>
    <w:rsid w:val="0037282C"/>
    <w:rsid w:val="0037439F"/>
    <w:rsid w:val="00382652"/>
    <w:rsid w:val="00392E44"/>
    <w:rsid w:val="00394723"/>
    <w:rsid w:val="003A3DD7"/>
    <w:rsid w:val="003A54A4"/>
    <w:rsid w:val="003C666A"/>
    <w:rsid w:val="003C75A2"/>
    <w:rsid w:val="003C7739"/>
    <w:rsid w:val="003D0AD7"/>
    <w:rsid w:val="003D12DD"/>
    <w:rsid w:val="003D5F99"/>
    <w:rsid w:val="003E33D3"/>
    <w:rsid w:val="003F384D"/>
    <w:rsid w:val="004077B6"/>
    <w:rsid w:val="0043053A"/>
    <w:rsid w:val="004317AA"/>
    <w:rsid w:val="00431A4F"/>
    <w:rsid w:val="00440761"/>
    <w:rsid w:val="00444192"/>
    <w:rsid w:val="00447068"/>
    <w:rsid w:val="00456963"/>
    <w:rsid w:val="00460CB4"/>
    <w:rsid w:val="00480110"/>
    <w:rsid w:val="004C0BD2"/>
    <w:rsid w:val="004C7BD5"/>
    <w:rsid w:val="004D0F82"/>
    <w:rsid w:val="004E22D2"/>
    <w:rsid w:val="004F193B"/>
    <w:rsid w:val="00510778"/>
    <w:rsid w:val="00521291"/>
    <w:rsid w:val="005226C9"/>
    <w:rsid w:val="00523273"/>
    <w:rsid w:val="0054479C"/>
    <w:rsid w:val="00564356"/>
    <w:rsid w:val="00573EBE"/>
    <w:rsid w:val="005803A3"/>
    <w:rsid w:val="00591FD7"/>
    <w:rsid w:val="00596D52"/>
    <w:rsid w:val="005A2879"/>
    <w:rsid w:val="005A635E"/>
    <w:rsid w:val="005B06A0"/>
    <w:rsid w:val="005C603D"/>
    <w:rsid w:val="005C7297"/>
    <w:rsid w:val="005E1699"/>
    <w:rsid w:val="005E677F"/>
    <w:rsid w:val="00603442"/>
    <w:rsid w:val="00610F46"/>
    <w:rsid w:val="00611FAE"/>
    <w:rsid w:val="0061735E"/>
    <w:rsid w:val="00626526"/>
    <w:rsid w:val="00626905"/>
    <w:rsid w:val="006515C1"/>
    <w:rsid w:val="00662854"/>
    <w:rsid w:val="0067231E"/>
    <w:rsid w:val="00690919"/>
    <w:rsid w:val="00693C1A"/>
    <w:rsid w:val="00696486"/>
    <w:rsid w:val="006A5649"/>
    <w:rsid w:val="006A6731"/>
    <w:rsid w:val="006B09FA"/>
    <w:rsid w:val="006B20D1"/>
    <w:rsid w:val="006B307F"/>
    <w:rsid w:val="006B3257"/>
    <w:rsid w:val="006C08BC"/>
    <w:rsid w:val="006D2C16"/>
    <w:rsid w:val="006D4B12"/>
    <w:rsid w:val="006F1B3B"/>
    <w:rsid w:val="006F7482"/>
    <w:rsid w:val="00705CEF"/>
    <w:rsid w:val="007138A4"/>
    <w:rsid w:val="00715AD8"/>
    <w:rsid w:val="0072020F"/>
    <w:rsid w:val="00742A09"/>
    <w:rsid w:val="0074391C"/>
    <w:rsid w:val="00744683"/>
    <w:rsid w:val="00762760"/>
    <w:rsid w:val="00764301"/>
    <w:rsid w:val="00766D1F"/>
    <w:rsid w:val="00771717"/>
    <w:rsid w:val="00780641"/>
    <w:rsid w:val="0079070B"/>
    <w:rsid w:val="007935BF"/>
    <w:rsid w:val="007A1EC3"/>
    <w:rsid w:val="007B169E"/>
    <w:rsid w:val="007C682F"/>
    <w:rsid w:val="007D377E"/>
    <w:rsid w:val="007F532F"/>
    <w:rsid w:val="00805992"/>
    <w:rsid w:val="00805B65"/>
    <w:rsid w:val="00811ADF"/>
    <w:rsid w:val="00813F84"/>
    <w:rsid w:val="008210E6"/>
    <w:rsid w:val="00837A05"/>
    <w:rsid w:val="00842D0C"/>
    <w:rsid w:val="008460B0"/>
    <w:rsid w:val="008469C6"/>
    <w:rsid w:val="00847866"/>
    <w:rsid w:val="00857A0B"/>
    <w:rsid w:val="008638A4"/>
    <w:rsid w:val="008639A7"/>
    <w:rsid w:val="00881934"/>
    <w:rsid w:val="008A29CD"/>
    <w:rsid w:val="008B07C3"/>
    <w:rsid w:val="008D6AAF"/>
    <w:rsid w:val="008D723D"/>
    <w:rsid w:val="008E3D8E"/>
    <w:rsid w:val="00902520"/>
    <w:rsid w:val="00905955"/>
    <w:rsid w:val="00921F49"/>
    <w:rsid w:val="0092377F"/>
    <w:rsid w:val="0093213E"/>
    <w:rsid w:val="00932AD4"/>
    <w:rsid w:val="009369E5"/>
    <w:rsid w:val="00941573"/>
    <w:rsid w:val="009428FA"/>
    <w:rsid w:val="00956606"/>
    <w:rsid w:val="00960289"/>
    <w:rsid w:val="00966745"/>
    <w:rsid w:val="00975A44"/>
    <w:rsid w:val="00985D82"/>
    <w:rsid w:val="009916FA"/>
    <w:rsid w:val="009A38BC"/>
    <w:rsid w:val="009A63EA"/>
    <w:rsid w:val="009B0C42"/>
    <w:rsid w:val="009C6B98"/>
    <w:rsid w:val="009D104F"/>
    <w:rsid w:val="009D7447"/>
    <w:rsid w:val="009E2BEE"/>
    <w:rsid w:val="009E52AE"/>
    <w:rsid w:val="009F0C8B"/>
    <w:rsid w:val="00A036E7"/>
    <w:rsid w:val="00A1505E"/>
    <w:rsid w:val="00A25752"/>
    <w:rsid w:val="00A25AB6"/>
    <w:rsid w:val="00A442CD"/>
    <w:rsid w:val="00A47264"/>
    <w:rsid w:val="00A57A92"/>
    <w:rsid w:val="00A602DD"/>
    <w:rsid w:val="00A675A6"/>
    <w:rsid w:val="00A80612"/>
    <w:rsid w:val="00A84E7A"/>
    <w:rsid w:val="00AA78C1"/>
    <w:rsid w:val="00AB17EF"/>
    <w:rsid w:val="00AC012E"/>
    <w:rsid w:val="00AE53E3"/>
    <w:rsid w:val="00AF0D8B"/>
    <w:rsid w:val="00AF589F"/>
    <w:rsid w:val="00B12C1C"/>
    <w:rsid w:val="00B17D68"/>
    <w:rsid w:val="00B266A5"/>
    <w:rsid w:val="00B34A8E"/>
    <w:rsid w:val="00B35AC3"/>
    <w:rsid w:val="00B649D5"/>
    <w:rsid w:val="00B6704F"/>
    <w:rsid w:val="00B6748F"/>
    <w:rsid w:val="00B67890"/>
    <w:rsid w:val="00B75376"/>
    <w:rsid w:val="00B75DCF"/>
    <w:rsid w:val="00B77D90"/>
    <w:rsid w:val="00B80777"/>
    <w:rsid w:val="00B86A43"/>
    <w:rsid w:val="00BA53EB"/>
    <w:rsid w:val="00BB371F"/>
    <w:rsid w:val="00BB74EC"/>
    <w:rsid w:val="00BC60C0"/>
    <w:rsid w:val="00BC6B3C"/>
    <w:rsid w:val="00BD0DCC"/>
    <w:rsid w:val="00BE73A0"/>
    <w:rsid w:val="00C02053"/>
    <w:rsid w:val="00C176D7"/>
    <w:rsid w:val="00C227BB"/>
    <w:rsid w:val="00C3219C"/>
    <w:rsid w:val="00C33A73"/>
    <w:rsid w:val="00C3566B"/>
    <w:rsid w:val="00C36EA6"/>
    <w:rsid w:val="00C567AE"/>
    <w:rsid w:val="00C719F8"/>
    <w:rsid w:val="00C739D2"/>
    <w:rsid w:val="00C77525"/>
    <w:rsid w:val="00C776F3"/>
    <w:rsid w:val="00C8179B"/>
    <w:rsid w:val="00CA5A56"/>
    <w:rsid w:val="00CA797C"/>
    <w:rsid w:val="00CB4ED6"/>
    <w:rsid w:val="00CC27CE"/>
    <w:rsid w:val="00CD04C7"/>
    <w:rsid w:val="00CD7330"/>
    <w:rsid w:val="00CE0F81"/>
    <w:rsid w:val="00CE55D9"/>
    <w:rsid w:val="00CE5DA1"/>
    <w:rsid w:val="00CF4EDB"/>
    <w:rsid w:val="00D16CF4"/>
    <w:rsid w:val="00D254B7"/>
    <w:rsid w:val="00D355AC"/>
    <w:rsid w:val="00D35802"/>
    <w:rsid w:val="00D37050"/>
    <w:rsid w:val="00D42D41"/>
    <w:rsid w:val="00D6471D"/>
    <w:rsid w:val="00D652E3"/>
    <w:rsid w:val="00D75DA9"/>
    <w:rsid w:val="00D82E14"/>
    <w:rsid w:val="00D961CA"/>
    <w:rsid w:val="00DC6206"/>
    <w:rsid w:val="00DE1428"/>
    <w:rsid w:val="00DE1973"/>
    <w:rsid w:val="00DE6345"/>
    <w:rsid w:val="00DF1CFB"/>
    <w:rsid w:val="00E00D2E"/>
    <w:rsid w:val="00E20CDD"/>
    <w:rsid w:val="00E26762"/>
    <w:rsid w:val="00E65F62"/>
    <w:rsid w:val="00E8109B"/>
    <w:rsid w:val="00E93069"/>
    <w:rsid w:val="00E960B7"/>
    <w:rsid w:val="00E9662E"/>
    <w:rsid w:val="00EA39AC"/>
    <w:rsid w:val="00EA3F7A"/>
    <w:rsid w:val="00EB133D"/>
    <w:rsid w:val="00EB4DF8"/>
    <w:rsid w:val="00ED6145"/>
    <w:rsid w:val="00EF08D6"/>
    <w:rsid w:val="00F0364C"/>
    <w:rsid w:val="00F04B81"/>
    <w:rsid w:val="00F12A4A"/>
    <w:rsid w:val="00F14DF3"/>
    <w:rsid w:val="00F2668D"/>
    <w:rsid w:val="00F2713F"/>
    <w:rsid w:val="00F30D92"/>
    <w:rsid w:val="00F31E79"/>
    <w:rsid w:val="00F33958"/>
    <w:rsid w:val="00F45BA4"/>
    <w:rsid w:val="00F4719E"/>
    <w:rsid w:val="00F54184"/>
    <w:rsid w:val="00F54FDC"/>
    <w:rsid w:val="00F574C3"/>
    <w:rsid w:val="00F714E1"/>
    <w:rsid w:val="00F723F5"/>
    <w:rsid w:val="00F80895"/>
    <w:rsid w:val="00F82428"/>
    <w:rsid w:val="00F8531B"/>
    <w:rsid w:val="00F93227"/>
    <w:rsid w:val="00FA65B3"/>
    <w:rsid w:val="00FB3CE5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B1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17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7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7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F036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unhideWhenUsed/>
    <w:rsid w:val="0016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1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F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1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6A4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E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7413"/>
  </w:style>
  <w:style w:type="paragraph" w:styleId="ac">
    <w:name w:val="footer"/>
    <w:basedOn w:val="a"/>
    <w:link w:val="ad"/>
    <w:uiPriority w:val="99"/>
    <w:unhideWhenUsed/>
    <w:rsid w:val="002E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7413"/>
  </w:style>
  <w:style w:type="table" w:customStyle="1" w:styleId="3">
    <w:name w:val="Сетка таблицы3"/>
    <w:basedOn w:val="a1"/>
    <w:next w:val="a8"/>
    <w:uiPriority w:val="59"/>
    <w:rsid w:val="0006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3-statepf\E$\SPF-Documents\39%20&#1055;&#1072;&#1087;&#1082;&#1072;%20&#1076;&#1083;&#1103;%20&#1086;&#1073;&#1084;&#1077;&#1085;&#1072;%20&#1076;&#1086;&#1082;&#1091;&#1084;&#1077;&#1085;&#1090;&#1072;&#1084;&#1080;\&#1044;&#1100;&#1103;&#1095;&#1077;&#1085;&#1082;&#1086;\&#1089;&#1087;&#1072;&#1088;&#1080;&#1085;&#1086;&#1087;&#1090;&#1072;\&#1043;&#1088;&#1072;&#1092;&#1080;&#1082;&#1080;5%2011.02.2015&#1075;.xlsx" TargetMode="External"/><Relationship Id="rId1" Type="http://schemas.openxmlformats.org/officeDocument/2006/relationships/themeOverride" Target="../theme/themeOverride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3-statepf\E$\SPF-Documents\39%20&#1055;&#1072;&#1087;&#1082;&#1072;%20&#1076;&#1083;&#1103;%20&#1086;&#1073;&#1084;&#1077;&#1085;&#1072;%20&#1076;&#1086;&#1082;&#1091;&#1084;&#1077;&#1085;&#1090;&#1072;&#1084;&#1080;\&#1044;&#1100;&#1103;&#1095;&#1077;&#1085;&#1082;&#1086;\&#1089;&#1087;&#1072;&#1088;&#1080;&#1085;&#1086;&#1087;&#1090;&#1072;\&#1043;&#1088;&#1072;&#1092;&#1080;&#1082;&#1080;5%2011.02.2015&#1075;.xlsx" TargetMode="External"/><Relationship Id="rId1" Type="http://schemas.openxmlformats.org/officeDocument/2006/relationships/themeOverride" Target="../theme/themeOverride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3-statepf\spf-documents$\39%20&#1055;&#1072;&#1087;&#1082;&#1072;%20&#1076;&#1083;&#1103;%20&#1086;&#1073;&#1084;&#1077;&#1085;&#1072;%20&#1076;&#1086;&#1082;&#1091;&#1084;&#1077;&#1085;&#1090;&#1072;&#1084;&#1080;\&#1057;&#1087;&#1072;&#1088;&#1080;&#1085;&#1086;&#1087;&#1090;&#1072;%20&#1053;\&#1086;&#1090;%20&#1055;&#1072;&#1085;&#1099;&#1096;&#1077;&#1074;&#1086;&#1081;%20&#1048;.&#1042;\&#1043;&#1088;&#1072;&#1092;&#1080;&#1082;&#1080;4%2009.02.2015&#1075;.xlsx" TargetMode="External"/><Relationship Id="rId1" Type="http://schemas.openxmlformats.org/officeDocument/2006/relationships/themeOverride" Target="../theme/themeOverride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3-statepf\spf-documents$\39%20&#1055;&#1072;&#1087;&#1082;&#1072;%20&#1076;&#1083;&#1103;%20&#1086;&#1073;&#1084;&#1077;&#1085;&#1072;%20&#1076;&#1086;&#1082;&#1091;&#1084;&#1077;&#1085;&#1090;&#1072;&#1084;&#1080;\&#1057;&#1087;&#1072;&#1088;&#1080;&#1085;&#1086;&#1087;&#1090;&#1072;%20&#1053;\&#1086;&#1090;%20&#1055;&#1072;&#1085;&#1099;&#1096;&#1077;&#1074;&#1086;&#1081;%20&#1048;.&#1042;\&#1043;&#1088;&#1072;&#1092;&#1080;&#1082;&#1080;6%2011.02.2015&#1075;.xlsx" TargetMode="External"/><Relationship Id="rId1" Type="http://schemas.openxmlformats.org/officeDocument/2006/relationships/themeOverride" Target="../theme/themeOverride6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3-statepf\E$\SPF-Documents\39%20&#1055;&#1072;&#1087;&#1082;&#1072;%20&#1076;&#1083;&#1103;%20&#1086;&#1073;&#1084;&#1077;&#1085;&#1072;%20&#1076;&#1086;&#1082;&#1091;&#1084;&#1077;&#1085;&#1090;&#1072;&#1084;&#1080;\&#1050;&#1086;&#1090;&#1083;&#1103;&#1088;\&#1086;&#1090;%20&#1051;&#1080;&#1090;&#1074;&#1080;&#1085;&#1077;&#1085;&#1082;&#1086;\&#1050;&#1072;&#1087;&#1074;&#1083;&#1086;&#1078;&#1077;&#1085;&#1080;&#1103;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8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Информация о численности сотрудников по возрастному составу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численности сотрудников по возрастному составу на                                                      конец 2014 года</c:v>
                </c:pt>
              </c:strCache>
            </c:strRef>
          </c:tx>
          <c:dLbls>
            <c:dLbl>
              <c:idx val="0"/>
              <c:layout>
                <c:manualLayout>
                  <c:x val="5.310330165530705E-2"/>
                  <c:y val="-0.12242457979963425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7779785057882787E-2"/>
                  <c:y val="1.472085146818090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2177791120801139E-2"/>
                  <c:y val="-4.156036791543668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 40 лет</c:v>
                </c:pt>
                <c:pt idx="1">
                  <c:v>от 40 до 55 лет</c:v>
                </c:pt>
                <c:pt idx="2">
                  <c:v>свыше 55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36</c:v>
                </c:pt>
                <c:pt idx="2">
                  <c:v>24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4286274268169403"/>
          <c:y val="0.35168873157464653"/>
          <c:w val="0.12106302524497112"/>
          <c:h val="0.26995654577616685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Пособия и компенсации, возмещаемые Республиканским бюджетом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1.6861843205860243E-2"/>
          <c:y val="0.27380952380952567"/>
          <c:w val="0.75288274754622153"/>
          <c:h val="0.626779152605930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(тыс.руб)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42385.5</c:v>
                </c:pt>
                <c:pt idx="1">
                  <c:v>45654.3</c:v>
                </c:pt>
                <c:pt idx="2">
                  <c:v>47358.400000000001</c:v>
                </c:pt>
              </c:numCache>
            </c:numRef>
          </c:val>
        </c:ser>
        <c:axId val="125583744"/>
        <c:axId val="125585280"/>
      </c:barChart>
      <c:catAx>
        <c:axId val="125583744"/>
        <c:scaling>
          <c:orientation val="minMax"/>
        </c:scaling>
        <c:axPos val="b"/>
        <c:numFmt formatCode="General" sourceLinked="1"/>
        <c:tickLblPos val="nextTo"/>
        <c:crossAx val="125585280"/>
        <c:crosses val="autoZero"/>
        <c:auto val="1"/>
        <c:lblAlgn val="ctr"/>
        <c:lblOffset val="100"/>
      </c:catAx>
      <c:valAx>
        <c:axId val="125585280"/>
        <c:scaling>
          <c:orientation val="minMax"/>
        </c:scaling>
        <c:delete val="1"/>
        <c:axPos val="l"/>
        <c:numFmt formatCode="#,##0.00" sourceLinked="1"/>
        <c:tickLblPos val="none"/>
        <c:crossAx val="125583744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+mj-lt"/>
                <a:cs typeface="Times New Roman" pitchFamily="18" charset="0"/>
              </a:rPr>
              <a:t>Оздоровление работающих граждан и членов их семей</a:t>
            </a:r>
          </a:p>
          <a:p>
            <a:pPr>
              <a:defRPr sz="1200"/>
            </a:pPr>
            <a:endParaRPr lang="ru-RU" sz="1200"/>
          </a:p>
        </c:rich>
      </c:tx>
      <c:spPr>
        <a:ln>
          <a:noFill/>
        </a:ln>
      </c:spPr>
    </c:title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-1.6970631009039883E-2"/>
                  <c:y val="-2.7777777777778283E-2"/>
                </c:manualLayout>
              </c:layout>
              <c:tx>
                <c:rich>
                  <a:bodyPr/>
                  <a:lstStyle/>
                  <a:p>
                    <a:pPr>
                      <a:defRPr b="1" i="0">
                        <a:solidFill>
                          <a:srgbClr val="C00000"/>
                        </a:solidFill>
                      </a:defRPr>
                    </a:pPr>
                    <a:r>
                      <a:rPr lang="en-US">
                        <a:solidFill>
                          <a:srgbClr val="0070C0"/>
                        </a:solidFill>
                      </a:rPr>
                      <a:t>3 302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bg1"/>
                  </a:solidFill>
                </a:ln>
              </c:spPr>
              <c:showVal val="1"/>
            </c:dLbl>
            <c:dLbl>
              <c:idx val="1"/>
              <c:layout>
                <c:manualLayout>
                  <c:x val="-9.4281283383554817E-3"/>
                  <c:y val="0"/>
                </c:manualLayout>
              </c:layout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70C0"/>
                        </a:solidFill>
                      </a:rPr>
                      <a:t>937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1.8856256676710963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70C0"/>
                        </a:solidFill>
                      </a:rPr>
                      <a:t>2 276</a:t>
                    </a:r>
                  </a:p>
                </c:rich>
              </c:tx>
              <c:showVal val="1"/>
            </c:dLbl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частично оплачено операций</c:v>
                </c:pt>
                <c:pt idx="1">
                  <c:v>проведена реабилитация (чел.)</c:v>
                </c:pt>
                <c:pt idx="2">
                  <c:v>приобретено путевок работающим гражданам</c:v>
                </c:pt>
                <c:pt idx="3">
                  <c:v>приобретено путевок на детское оздоровление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3302</c:v>
                </c:pt>
                <c:pt idx="1">
                  <c:v>6842</c:v>
                </c:pt>
                <c:pt idx="2">
                  <c:v>937</c:v>
                </c:pt>
                <c:pt idx="3">
                  <c:v>2276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5.6568770030132904E-3"/>
                  <c:y val="-1.9841269841270024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3 367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7 590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812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2 427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частично оплачено операций</c:v>
                </c:pt>
                <c:pt idx="1">
                  <c:v>проведена реабилитация (чел.)</c:v>
                </c:pt>
                <c:pt idx="2">
                  <c:v>приобретено путевок работающим гражданам</c:v>
                </c:pt>
                <c:pt idx="3">
                  <c:v>приобретено путевок на детское оздоровление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3367</c:v>
                </c:pt>
                <c:pt idx="1">
                  <c:v>7590</c:v>
                </c:pt>
                <c:pt idx="2">
                  <c:v>812</c:v>
                </c:pt>
                <c:pt idx="3">
                  <c:v>2427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частично оплачено операций</c:v>
                </c:pt>
                <c:pt idx="1">
                  <c:v>проведена реабилитация (чел.)</c:v>
                </c:pt>
                <c:pt idx="2">
                  <c:v>приобретено путевок работающим гражданам</c:v>
                </c:pt>
                <c:pt idx="3">
                  <c:v>приобретено путевок на детское оздоровление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985</c:v>
                </c:pt>
                <c:pt idx="1">
                  <c:v>3635</c:v>
                </c:pt>
                <c:pt idx="2">
                  <c:v>24</c:v>
                </c:pt>
                <c:pt idx="3">
                  <c:v>1852</c:v>
                </c:pt>
              </c:numCache>
            </c:numRef>
          </c:val>
        </c:ser>
        <c:gapWidth val="174"/>
        <c:gapDepth val="162"/>
        <c:shape val="cylinder"/>
        <c:axId val="125752448"/>
        <c:axId val="125753984"/>
        <c:axId val="0"/>
      </c:bar3DChart>
      <c:catAx>
        <c:axId val="1257524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25753984"/>
        <c:crosses val="autoZero"/>
        <c:auto val="1"/>
        <c:lblAlgn val="ctr"/>
        <c:lblOffset val="100"/>
      </c:catAx>
      <c:valAx>
        <c:axId val="125753984"/>
        <c:scaling>
          <c:orientation val="minMax"/>
        </c:scaling>
        <c:delete val="1"/>
        <c:axPos val="l"/>
        <c:numFmt formatCode="#,##0" sourceLinked="1"/>
        <c:tickLblPos val="none"/>
        <c:crossAx val="125752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25246152098719"/>
          <c:y val="0.19098456442944631"/>
          <c:w val="0.10420813743984"/>
          <c:h val="0.22717754030746171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Активная политика занятости</a:t>
            </a:r>
          </a:p>
        </c:rich>
      </c:tx>
      <c:layout>
        <c:manualLayout>
          <c:xMode val="edge"/>
          <c:yMode val="edge"/>
          <c:x val="0.32170713035870518"/>
          <c:y val="2.3809523809523812E-2"/>
        </c:manualLayout>
      </c:layout>
    </c:title>
    <c:plotArea>
      <c:layout>
        <c:manualLayout>
          <c:layoutTarget val="inner"/>
          <c:xMode val="edge"/>
          <c:yMode val="edge"/>
          <c:x val="0.40369404345290172"/>
          <c:y val="0.15873015873015894"/>
          <c:w val="0.37979677019539232"/>
          <c:h val="0.7418585176852999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Трудоустроено Центрами СС и СЗ, чел</c:v>
                </c:pt>
                <c:pt idx="1">
                  <c:v>Направлено на общественные работы,чел</c:v>
                </c:pt>
                <c:pt idx="2">
                  <c:v>Трудоустроено несовершеннолетних граждан в каникулярное время,чел</c:v>
                </c:pt>
                <c:pt idx="3">
                  <c:v>Направлено на пофессиональную подготовку,чел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2603</c:v>
                </c:pt>
                <c:pt idx="1">
                  <c:v>976</c:v>
                </c:pt>
                <c:pt idx="2">
                  <c:v>448</c:v>
                </c:pt>
                <c:pt idx="3">
                  <c:v>296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Трудоустроено Центрами СС и СЗ, чел</c:v>
                </c:pt>
                <c:pt idx="1">
                  <c:v>Направлено на общественные работы,чел</c:v>
                </c:pt>
                <c:pt idx="2">
                  <c:v>Трудоустроено несовершеннолетних граждан в каникулярное время,чел</c:v>
                </c:pt>
                <c:pt idx="3">
                  <c:v>Направлено на пофессиональную подготовку,чел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2018</c:v>
                </c:pt>
                <c:pt idx="1">
                  <c:v>929</c:v>
                </c:pt>
                <c:pt idx="2">
                  <c:v>508</c:v>
                </c:pt>
                <c:pt idx="3">
                  <c:v>276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Трудоустроено Центрами СС и СЗ, чел</c:v>
                </c:pt>
                <c:pt idx="1">
                  <c:v>Направлено на общественные работы,чел</c:v>
                </c:pt>
                <c:pt idx="2">
                  <c:v>Трудоустроено несовершеннолетних граждан в каникулярное время,чел</c:v>
                </c:pt>
                <c:pt idx="3">
                  <c:v>Направлено на пофессиональную подготовку,чел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2095</c:v>
                </c:pt>
                <c:pt idx="1">
                  <c:v>656</c:v>
                </c:pt>
                <c:pt idx="2">
                  <c:v>434</c:v>
                </c:pt>
                <c:pt idx="3">
                  <c:v>146</c:v>
                </c:pt>
              </c:numCache>
            </c:numRef>
          </c:val>
        </c:ser>
        <c:axId val="125887616"/>
        <c:axId val="125889152"/>
      </c:barChart>
      <c:catAx>
        <c:axId val="125887616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5889152"/>
        <c:crosses val="autoZero"/>
        <c:auto val="1"/>
        <c:lblAlgn val="ctr"/>
        <c:lblOffset val="100"/>
      </c:catAx>
      <c:valAx>
        <c:axId val="125889152"/>
        <c:scaling>
          <c:orientation val="minMax"/>
        </c:scaling>
        <c:axPos val="b"/>
        <c:numFmt formatCode="#,##0" sourceLinked="1"/>
        <c:tickLblPos val="nextTo"/>
        <c:crossAx val="125887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Среднесписочная численность получателей пособия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безработице и его  размер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размер пособия по безработице, руб</c:v>
                </c:pt>
              </c:strCache>
            </c:strRef>
          </c:tx>
          <c:dLbls>
            <c:dLbl>
              <c:idx val="0"/>
              <c:layout>
                <c:manualLayout>
                  <c:x val="-3.6243119958997011E-2"/>
                  <c:y val="-7.834817804699179E-2"/>
                </c:manualLayout>
              </c:layout>
              <c:showVal val="1"/>
            </c:dLbl>
            <c:dLbl>
              <c:idx val="1"/>
              <c:layout>
                <c:manualLayout>
                  <c:x val="-2.3093531071221311E-2"/>
                  <c:y val="-6.4163872202970429E-2"/>
                </c:manualLayout>
              </c:layout>
              <c:showVal val="1"/>
            </c:dLbl>
            <c:dLbl>
              <c:idx val="2"/>
              <c:layout>
                <c:manualLayout>
                  <c:x val="-1.4989658880276186E-2"/>
                  <c:y val="-8.545796548114321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394.4</c:v>
                </c:pt>
                <c:pt idx="1">
                  <c:v>410.6</c:v>
                </c:pt>
                <c:pt idx="2">
                  <c:v>427.4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Среднесписочная численность получателей пособия по безработице (чел.)</c:v>
                </c:pt>
              </c:strCache>
            </c:strRef>
          </c:tx>
          <c:dLbls>
            <c:dLbl>
              <c:idx val="0"/>
              <c:layout>
                <c:manualLayout>
                  <c:x val="-1.9836563673472765E-2"/>
                  <c:y val="-8.5317449209805926E-2"/>
                </c:manualLayout>
              </c:layout>
              <c:showVal val="1"/>
            </c:dLbl>
            <c:dLbl>
              <c:idx val="1"/>
              <c:layout>
                <c:manualLayout>
                  <c:x val="-1.5585871457728717E-2"/>
                  <c:y val="-9.2427796469738616E-2"/>
                </c:manualLayout>
              </c:layout>
              <c:showVal val="1"/>
            </c:dLbl>
            <c:dLbl>
              <c:idx val="2"/>
              <c:layout>
                <c:manualLayout>
                  <c:x val="-4.2506922157442275E-3"/>
                  <c:y val="-7.109787434150489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Лист1!$C$2:$C$4</c:f>
              <c:numCache>
                <c:formatCode>#,##0</c:formatCode>
                <c:ptCount val="3"/>
                <c:pt idx="0">
                  <c:v>4397</c:v>
                </c:pt>
                <c:pt idx="1">
                  <c:v>3346</c:v>
                </c:pt>
                <c:pt idx="2">
                  <c:v>3693</c:v>
                </c:pt>
              </c:numCache>
            </c:numRef>
          </c:val>
        </c:ser>
        <c:marker val="1"/>
        <c:axId val="126017536"/>
        <c:axId val="126019072"/>
      </c:lineChart>
      <c:catAx>
        <c:axId val="126017536"/>
        <c:scaling>
          <c:orientation val="minMax"/>
        </c:scaling>
        <c:axPos val="b"/>
        <c:numFmt formatCode="General" sourceLinked="1"/>
        <c:tickLblPos val="nextTo"/>
        <c:crossAx val="126019072"/>
        <c:crosses val="autoZero"/>
        <c:auto val="1"/>
        <c:lblAlgn val="ctr"/>
        <c:lblOffset val="100"/>
      </c:catAx>
      <c:valAx>
        <c:axId val="126019072"/>
        <c:scaling>
          <c:orientation val="minMax"/>
        </c:scaling>
        <c:delete val="1"/>
        <c:axPos val="l"/>
        <c:numFmt formatCode="General" sourceLinked="1"/>
        <c:tickLblPos val="none"/>
        <c:crossAx val="126017536"/>
        <c:crosses val="autoZero"/>
        <c:crossBetween val="between"/>
      </c:valAx>
      <c:spPr>
        <a:ln>
          <a:noFill/>
        </a:ln>
      </c:spPr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ru-RU" sz="1400">
                <a:solidFill>
                  <a:schemeClr val="tx2"/>
                </a:solidFill>
              </a:rPr>
              <a:t>Общее количество организаций зарегистрированных в базе ЕГФСС </a:t>
            </a:r>
          </a:p>
          <a:p>
            <a:pPr>
              <a:defRPr sz="1400">
                <a:solidFill>
                  <a:schemeClr val="tx2"/>
                </a:solidFill>
              </a:defRPr>
            </a:pPr>
            <a:r>
              <a:rPr lang="ru-RU" sz="1200">
                <a:solidFill>
                  <a:schemeClr val="tx2"/>
                </a:solidFill>
              </a:rPr>
              <a:t>(активные, в стадии ликвидации, ликвидированные)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2.7372262773722806E-2"/>
                  <c:y val="-1.9757267852102741E-2"/>
                </c:manualLayout>
              </c:layout>
              <c:spPr/>
              <c:txPr>
                <a:bodyPr rot="0" vert="horz"/>
                <a:lstStyle/>
                <a:p>
                  <a:pPr>
                    <a:defRPr b="1">
                      <a:latin typeface="Book Antiqua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330660765944392E-2"/>
                  <c:y val="-2.2579734688117536E-2"/>
                </c:manualLayout>
              </c:layout>
              <c:spPr/>
              <c:txPr>
                <a:bodyPr rot="0" vert="horz"/>
                <a:lstStyle/>
                <a:p>
                  <a:pPr>
                    <a:defRPr b="1">
                      <a:latin typeface="Book Antiqua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372262773722806E-2"/>
                  <c:y val="-1.6934801016088182E-2"/>
                </c:manualLayout>
              </c:layout>
              <c:spPr/>
              <c:txPr>
                <a:bodyPr rot="0" vert="horz"/>
                <a:lstStyle/>
                <a:p>
                  <a:pPr>
                    <a:defRPr b="1">
                      <a:latin typeface="Book Antiqua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latin typeface="Book Antiqua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Лист1!$B$2:$D$2</c:f>
              <c:strCache>
                <c:ptCount val="3"/>
                <c:pt idx="0">
                  <c:v>2012 г. 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8531</c:v>
                </c:pt>
                <c:pt idx="1">
                  <c:v>8782</c:v>
                </c:pt>
                <c:pt idx="2">
                  <c:v>8874</c:v>
                </c:pt>
              </c:numCache>
            </c:numRef>
          </c:val>
        </c:ser>
        <c:gapWidth val="134"/>
        <c:shape val="box"/>
        <c:axId val="126049280"/>
        <c:axId val="126079744"/>
        <c:axId val="0"/>
      </c:bar3DChart>
      <c:catAx>
        <c:axId val="1260492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126079744"/>
        <c:crosses val="autoZero"/>
        <c:auto val="1"/>
        <c:lblAlgn val="ctr"/>
        <c:lblOffset val="100"/>
      </c:catAx>
      <c:valAx>
        <c:axId val="126079744"/>
        <c:scaling>
          <c:orientation val="minMax"/>
        </c:scaling>
        <c:delete val="1"/>
        <c:axPos val="l"/>
        <c:numFmt formatCode="General" sourceLinked="1"/>
        <c:tickLblPos val="none"/>
        <c:crossAx val="126049280"/>
        <c:crosses val="autoZero"/>
        <c:crossBetween val="between"/>
      </c:valAx>
    </c:plotArea>
    <c:plotVisOnly val="1"/>
    <c:dispBlanksAs val="gap"/>
  </c:chart>
  <c:spPr>
    <a:gradFill>
      <a:gsLst>
        <a:gs pos="0">
          <a:schemeClr val="accent5">
            <a:lumMod val="60000"/>
            <a:lumOff val="40000"/>
          </a:schemeClr>
        </a:gs>
        <a:gs pos="39000">
          <a:schemeClr val="accent5">
            <a:lumMod val="40000"/>
            <a:lumOff val="60000"/>
          </a:schemeClr>
        </a:gs>
        <a:gs pos="100000">
          <a:srgbClr val="EDF6F9"/>
        </a:gs>
      </a:gsLst>
      <a:lin ang="5400000" scaled="0"/>
    </a:gradFill>
  </c:sp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ru-RU" sz="1100">
                <a:solidFill>
                  <a:schemeClr val="tx2">
                    <a:lumMod val="75000"/>
                  </a:schemeClr>
                </a:solidFill>
              </a:rPr>
              <a:t>Общее количество организаций,  ведущих хозяйственную деятельность</a:t>
            </a:r>
          </a:p>
        </c:rich>
      </c:tx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1106128550074741E-2"/>
          <c:y val="0.14103179482621184"/>
          <c:w val="0.91778774289985054"/>
          <c:h val="0.78981908775984377"/>
        </c:manualLayout>
      </c:layout>
      <c:bar3DChart>
        <c:barDir val="col"/>
        <c:grouping val="clustered"/>
        <c:ser>
          <c:idx val="0"/>
          <c:order val="0"/>
          <c:tx>
            <c:strRef>
              <c:f>Лист2!$A$3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2.9166666666666667E-2"/>
                  <c:y val="-6.271558482282902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500000000000006E-2"/>
                  <c:y val="-9.407337723424304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7500000000000082E-2"/>
                  <c:y val="-9.407337723424304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Book Antiqua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Лист2!$B$2:$D$2</c:f>
              <c:strCache>
                <c:ptCount val="3"/>
                <c:pt idx="0">
                  <c:v>2012 г. 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6507</c:v>
                </c:pt>
                <c:pt idx="1">
                  <c:v>6999</c:v>
                </c:pt>
                <c:pt idx="2">
                  <c:v>7407</c:v>
                </c:pt>
              </c:numCache>
            </c:numRef>
          </c:val>
        </c:ser>
        <c:shape val="box"/>
        <c:axId val="126132992"/>
        <c:axId val="126134528"/>
        <c:axId val="0"/>
      </c:bar3DChart>
      <c:catAx>
        <c:axId val="126132992"/>
        <c:scaling>
          <c:orientation val="minMax"/>
        </c:scaling>
        <c:axPos val="b"/>
        <c:numFmt formatCode="General" sourceLinked="0"/>
        <c:tickLblPos val="nextTo"/>
        <c:crossAx val="126134528"/>
        <c:crosses val="autoZero"/>
        <c:auto val="1"/>
        <c:lblAlgn val="ctr"/>
        <c:lblOffset val="100"/>
      </c:catAx>
      <c:valAx>
        <c:axId val="126134528"/>
        <c:scaling>
          <c:orientation val="minMax"/>
        </c:scaling>
        <c:delete val="1"/>
        <c:axPos val="l"/>
        <c:numFmt formatCode="General" sourceLinked="1"/>
        <c:tickLblPos val="none"/>
        <c:crossAx val="126132992"/>
        <c:crosses val="autoZero"/>
        <c:crossBetween val="between"/>
      </c:valAx>
    </c:plotArea>
    <c:plotVisOnly val="1"/>
    <c:dispBlanksAs val="gap"/>
  </c:chart>
  <c:spPr>
    <a:gradFill>
      <a:gsLst>
        <a:gs pos="0">
          <a:schemeClr val="tx2">
            <a:lumMod val="20000"/>
            <a:lumOff val="80000"/>
          </a:schemeClr>
        </a:gs>
        <a:gs pos="15341">
          <a:schemeClr val="tx2">
            <a:lumMod val="20000"/>
            <a:lumOff val="80000"/>
          </a:schemeClr>
        </a:gs>
        <a:gs pos="29000">
          <a:schemeClr val="accent5">
            <a:lumMod val="20000"/>
            <a:lumOff val="80000"/>
          </a:schemeClr>
        </a:gs>
        <a:gs pos="100000">
          <a:schemeClr val="bg1"/>
        </a:gs>
      </a:gsLst>
      <a:lin ang="5400000" scaled="0"/>
    </a:gradFill>
  </c:sp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u-RU" sz="1400">
                <a:solidFill>
                  <a:schemeClr val="tx2"/>
                </a:solidFill>
              </a:rPr>
              <a:t>Предоставление индивидуальных сведений о доходе и стаже застрахованных лиц организациями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Лист1!$A$3</c:f>
              <c:strCache>
                <c:ptCount val="1"/>
                <c:pt idx="0">
                  <c:v>Организации, предоставившие индивидуальные сведения</c:v>
                </c:pt>
              </c:strCache>
            </c:strRef>
          </c:tx>
          <c:spPr>
            <a:solidFill>
              <a:srgbClr val="5C85EA"/>
            </a:solidFill>
            <a:ln>
              <a:solidFill>
                <a:srgbClr val="5C85EA"/>
              </a:solidFill>
            </a:ln>
          </c:spPr>
          <c:dLbls>
            <c:dLbl>
              <c:idx val="0"/>
              <c:layout>
                <c:manualLayout>
                  <c:x val="1.3525698827772771E-2"/>
                  <c:y val="-9.9900099900100247E-3"/>
                </c:manualLayout>
              </c:layout>
              <c:showVal val="1"/>
            </c:dLbl>
            <c:dLbl>
              <c:idx val="1"/>
              <c:layout>
                <c:manualLayout>
                  <c:x val="1.202284340246468E-2"/>
                  <c:y val="-9.9900099900100247E-3"/>
                </c:manualLayout>
              </c:layout>
              <c:showVal val="1"/>
            </c:dLbl>
            <c:dLbl>
              <c:idx val="2"/>
              <c:layout>
                <c:manualLayout>
                  <c:x val="1.3525698827772771E-2"/>
                  <c:y val="-9.9900099900100247E-3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 sz="1000">
                    <a:latin typeface="Book Antiqu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Лист1!$B$1:$D$2</c:f>
              <c:strCache>
                <c:ptCount val="3"/>
                <c:pt idx="0">
                  <c:v>2012 (за 2011 отч.год)</c:v>
                </c:pt>
                <c:pt idx="1">
                  <c:v>2013 (за 2012 отч.год)</c:v>
                </c:pt>
                <c:pt idx="2">
                  <c:v>2014 (за 2013 отч.год)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5665</c:v>
                </c:pt>
                <c:pt idx="1">
                  <c:v>6275</c:v>
                </c:pt>
                <c:pt idx="2">
                  <c:v>6749</c:v>
                </c:pt>
              </c:numCache>
            </c:numRef>
          </c:val>
        </c:ser>
        <c:gapDepth val="358"/>
        <c:shape val="box"/>
        <c:axId val="126142720"/>
        <c:axId val="126193664"/>
        <c:axId val="0"/>
      </c:bar3DChart>
      <c:catAx>
        <c:axId val="12614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solidFill>
                  <a:schemeClr val="tx2"/>
                </a:solidFill>
              </a:defRPr>
            </a:pPr>
            <a:endParaRPr lang="ru-RU"/>
          </a:p>
        </c:txPr>
        <c:crossAx val="126193664"/>
        <c:crosses val="autoZero"/>
        <c:auto val="1"/>
        <c:lblAlgn val="ctr"/>
        <c:lblOffset val="100"/>
      </c:catAx>
      <c:valAx>
        <c:axId val="126193664"/>
        <c:scaling>
          <c:orientation val="minMax"/>
        </c:scaling>
        <c:delete val="1"/>
        <c:axPos val="l"/>
        <c:numFmt formatCode="General" sourceLinked="1"/>
        <c:tickLblPos val="none"/>
        <c:crossAx val="126142720"/>
        <c:crosses val="autoZero"/>
        <c:crossBetween val="between"/>
      </c:valAx>
    </c:plotArea>
    <c:legend>
      <c:legendPos val="r"/>
      <c:txPr>
        <a:bodyPr/>
        <a:lstStyle/>
        <a:p>
          <a:pPr>
            <a:defRPr baseline="0">
              <a:solidFill>
                <a:schemeClr val="tx2"/>
              </a:solidFill>
            </a:defRPr>
          </a:pPr>
          <a:endParaRPr lang="ru-RU"/>
        </a:p>
      </c:txPr>
    </c:legend>
    <c:plotVisOnly val="1"/>
    <c:dispBlanksAs val="gap"/>
  </c:chart>
  <c:spPr>
    <a:gradFill>
      <a:gsLst>
        <a:gs pos="0">
          <a:schemeClr val="accent5">
            <a:lumMod val="60000"/>
            <a:lumOff val="40000"/>
          </a:schemeClr>
        </a:gs>
        <a:gs pos="22000">
          <a:schemeClr val="accent5">
            <a:lumMod val="40000"/>
            <a:lumOff val="60000"/>
          </a:schemeClr>
        </a:gs>
        <a:gs pos="100000">
          <a:srgbClr val="EDF6F9"/>
        </a:gs>
      </a:gsLst>
      <a:lin ang="5400000" scaled="0"/>
    </a:gradFill>
  </c:sp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2">
                    <a:lumMod val="75000"/>
                  </a:schemeClr>
                </a:solidFill>
              </a:rPr>
              <a:t>Количество принятых и обработанных документов персонифицированного учёта </a:t>
            </a:r>
          </a:p>
          <a:p>
            <a:pPr>
              <a:defRPr/>
            </a:pPr>
            <a:endParaRPr lang="ru-RU" sz="1200">
              <a:solidFill>
                <a:schemeClr val="tx2">
                  <a:lumMod val="75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Лист2!$A$3</c:f>
              <c:strCache>
                <c:ptCount val="1"/>
                <c:pt idx="0">
                  <c:v>Количество принятых индивидуальных сведений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2.1216270576193311E-2"/>
                  <c:y val="-6.3144732903082076E-2"/>
                </c:manualLayout>
              </c:layout>
              <c:showVal val="1"/>
            </c:dLbl>
            <c:dLbl>
              <c:idx val="1"/>
              <c:layout>
                <c:manualLayout>
                  <c:x val="2.1059666479474742E-2"/>
                  <c:y val="-5.8515006579084775E-2"/>
                </c:manualLayout>
              </c:layout>
              <c:showVal val="1"/>
            </c:dLbl>
            <c:dLbl>
              <c:idx val="2"/>
              <c:layout>
                <c:manualLayout>
                  <c:x val="2.0746887966804982E-2"/>
                  <c:y val="-1.85185185185185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200</a:t>
                    </a:r>
                    <a:r>
                      <a:rPr lang="ru-RU"/>
                      <a:t> </a:t>
                    </a:r>
                    <a:r>
                      <a:rPr lang="en-US"/>
                      <a:t>789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Book Antiqu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Лист2!$B$2:$C$2</c:f>
              <c:strCache>
                <c:ptCount val="2"/>
                <c:pt idx="0">
                  <c:v>2012 (за 2011 отч.год)</c:v>
                </c:pt>
                <c:pt idx="1">
                  <c:v>2014 (за 2013 отч.год)</c:v>
                </c:pt>
              </c:strCache>
            </c:strRef>
          </c:cat>
          <c:val>
            <c:numRef>
              <c:f>Лист2!$B$3:$C$3</c:f>
              <c:numCache>
                <c:formatCode>General</c:formatCode>
                <c:ptCount val="2"/>
                <c:pt idx="0" formatCode="#,##0">
                  <c:v>191497</c:v>
                </c:pt>
                <c:pt idx="1">
                  <c:v>200789</c:v>
                </c:pt>
              </c:numCache>
            </c:numRef>
          </c:val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из них принято в электронном виде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5.1444047491028717E-2"/>
                  <c:y val="-5.1763542819747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  <a:r>
                      <a:rPr lang="ru-RU"/>
                      <a:t> </a:t>
                    </a:r>
                    <a:r>
                      <a:rPr lang="en-US"/>
                      <a:t>270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5.6655952907252276E-2"/>
                  <c:y val="-5.8836929203478446E-2"/>
                </c:manualLayout>
              </c:layout>
              <c:showVal val="1"/>
            </c:dLbl>
            <c:dLbl>
              <c:idx val="2"/>
              <c:layout>
                <c:manualLayout>
                  <c:x val="5.0555843693190779E-2"/>
                  <c:y val="-9.291338582677164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181</a:t>
                    </a:r>
                    <a:r>
                      <a:rPr lang="ru-RU"/>
                      <a:t> </a:t>
                    </a:r>
                    <a:r>
                      <a:rPr lang="en-US"/>
                      <a:t>468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Book Antiqu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Лист2!$B$2:$C$2</c:f>
              <c:strCache>
                <c:ptCount val="2"/>
                <c:pt idx="0">
                  <c:v>2012 (за 2011 отч.год)</c:v>
                </c:pt>
                <c:pt idx="1">
                  <c:v>2014 (за 2013 отч.год)</c:v>
                </c:pt>
              </c:strCache>
            </c:strRef>
          </c:cat>
          <c:val>
            <c:numRef>
              <c:f>Лист2!$B$4:$C$4</c:f>
              <c:numCache>
                <c:formatCode>General</c:formatCode>
                <c:ptCount val="2"/>
                <c:pt idx="0" formatCode="#,##0">
                  <c:v>172270</c:v>
                </c:pt>
                <c:pt idx="1">
                  <c:v>181468</c:v>
                </c:pt>
              </c:numCache>
            </c:numRef>
          </c:val>
        </c:ser>
        <c:shape val="box"/>
        <c:axId val="126322176"/>
        <c:axId val="126323712"/>
        <c:axId val="0"/>
      </c:bar3DChart>
      <c:catAx>
        <c:axId val="126322176"/>
        <c:scaling>
          <c:orientation val="minMax"/>
        </c:scaling>
        <c:axPos val="b"/>
        <c:numFmt formatCode="General" sourceLinked="1"/>
        <c:tickLblPos val="nextTo"/>
        <c:crossAx val="126323712"/>
        <c:crosses val="autoZero"/>
        <c:auto val="1"/>
        <c:lblAlgn val="ctr"/>
        <c:lblOffset val="100"/>
      </c:catAx>
      <c:valAx>
        <c:axId val="126323712"/>
        <c:scaling>
          <c:orientation val="minMax"/>
        </c:scaling>
        <c:delete val="1"/>
        <c:axPos val="l"/>
        <c:numFmt formatCode="#,##0" sourceLinked="1"/>
        <c:tickLblPos val="none"/>
        <c:crossAx val="126322176"/>
        <c:crosses val="autoZero"/>
        <c:crossBetween val="between"/>
      </c:valAx>
    </c:plotArea>
    <c:legend>
      <c:legendPos val="b"/>
    </c:legend>
    <c:plotVisOnly val="1"/>
    <c:dispBlanksAs val="gap"/>
  </c:chart>
  <c:spPr>
    <a:gradFill>
      <a:gsLst>
        <a:gs pos="0">
          <a:schemeClr val="accent5">
            <a:lumMod val="60000"/>
            <a:lumOff val="40000"/>
          </a:schemeClr>
        </a:gs>
        <a:gs pos="26000">
          <a:schemeClr val="accent5">
            <a:lumMod val="40000"/>
            <a:lumOff val="60000"/>
          </a:schemeClr>
        </a:gs>
        <a:gs pos="100000">
          <a:srgbClr val="EDF6F9"/>
        </a:gs>
      </a:gsLst>
      <a:lin ang="5400000" scaled="0"/>
    </a:gradFill>
  </c:sp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 rot="0" vert="horz"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расходов на содержание органов управления фонда за 2013-2014 гг.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582E-2"/>
          <c:y val="0.28324074074074085"/>
          <c:w val="0.93888888888889011"/>
          <c:h val="0.51118839311752706"/>
        </c:manualLayout>
      </c:layout>
      <c:barChart>
        <c:barDir val="col"/>
        <c:grouping val="clustered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Лист3!$A$1:$B$1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Лист3!$A$2:$B$2</c:f>
              <c:numCache>
                <c:formatCode>#,##0.0</c:formatCode>
                <c:ptCount val="2"/>
                <c:pt idx="0">
                  <c:v>23.4</c:v>
                </c:pt>
                <c:pt idx="1">
                  <c:v>22.8</c:v>
                </c:pt>
              </c:numCache>
            </c:numRef>
          </c:val>
        </c:ser>
        <c:dLbls>
          <c:showVal val="1"/>
        </c:dLbls>
        <c:overlap val="-25"/>
        <c:axId val="126385152"/>
        <c:axId val="126346368"/>
      </c:barChart>
      <c:catAx>
        <c:axId val="126385152"/>
        <c:scaling>
          <c:orientation val="minMax"/>
        </c:scaling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0.82759011373578295"/>
              <c:y val="0.1842359288422287"/>
            </c:manualLayout>
          </c:layout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6346368"/>
        <c:crosses val="autoZero"/>
        <c:auto val="1"/>
        <c:lblAlgn val="ctr"/>
        <c:lblOffset val="100"/>
      </c:catAx>
      <c:valAx>
        <c:axId val="126346368"/>
        <c:scaling>
          <c:orientation val="minMax"/>
          <c:min val="0"/>
        </c:scaling>
        <c:delete val="1"/>
        <c:axPos val="l"/>
        <c:numFmt formatCode="#,##0.0" sourceLinked="1"/>
        <c:tickLblPos val="nextTo"/>
        <c:crossAx val="12638515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Количество проверенных пенсионных личных дел по городам и районам  республики</a:t>
            </a:r>
          </a:p>
        </c:rich>
      </c:tx>
      <c:layout>
        <c:manualLayout>
          <c:xMode val="edge"/>
          <c:yMode val="edge"/>
          <c:x val="0.13587604719554827"/>
          <c:y val="1.7993885904990355E-2"/>
        </c:manualLayout>
      </c:layout>
    </c:title>
    <c:view3D>
      <c:rotX val="30"/>
      <c:rotY val="40"/>
      <c:depthPercent val="100"/>
      <c:rAngAx val="1"/>
    </c:view3D>
    <c:plotArea>
      <c:layout>
        <c:manualLayout>
          <c:layoutTarget val="inner"/>
          <c:xMode val="edge"/>
          <c:yMode val="edge"/>
          <c:x val="6.909029600466654E-2"/>
          <c:y val="0.26054055743032073"/>
          <c:w val="0.6570798702245606"/>
          <c:h val="0.65471253593300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получателей пенсий в разрезе городов и районов республики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14"/>
          <c:dLbls>
            <c:dLbl>
              <c:idx val="0"/>
              <c:layout>
                <c:manualLayout>
                  <c:x val="2.3704426832453378E-2"/>
                  <c:y val="1.17473687882037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Тирасполь                                     21%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0.10185610974810864"/>
                  <c:y val="5.128661242926031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Дубоссары</a:t>
                    </a:r>
                  </a:p>
                  <a:p>
                    <a:r>
                      <a:rPr lang="ru-RU"/>
                      <a:t>16,8%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-3.4751802670532031E-2"/>
                  <c:y val="-2.43161094224923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Бендеры                    12,1%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-2.0124067954844182E-2"/>
                  <c:y val="-6.95664105816563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Каменка                        13,8%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4"/>
              <c:layout>
                <c:manualLayout>
                  <c:x val="-2.8611064726207756E-2"/>
                  <c:y val="5.839851413922143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Слободзея                14,6%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5"/>
              <c:layout>
                <c:manualLayout>
                  <c:x val="2.6524343510894811E-2"/>
                  <c:y val="-4.05134241940689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Григориополь </a:t>
                    </a:r>
                  </a:p>
                  <a:p>
                    <a:r>
                      <a:rPr lang="ru-RU"/>
                      <a:t>9 ,1%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6"/>
              <c:layout>
                <c:manualLayout>
                  <c:x val="9.3973245543995026E-2"/>
                  <c:y val="-1.02727584583841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Рыбница</a:t>
                    </a:r>
                  </a:p>
                  <a:p>
                    <a:r>
                      <a:rPr lang="ru-RU"/>
                      <a:t>  12,6%</a:t>
                    </a:r>
                  </a:p>
                </c:rich>
              </c:tx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Тирасполь</c:v>
                </c:pt>
                <c:pt idx="1">
                  <c:v>Дубоссары</c:v>
                </c:pt>
                <c:pt idx="2">
                  <c:v>Бендеры</c:v>
                </c:pt>
                <c:pt idx="3">
                  <c:v>Каменка</c:v>
                </c:pt>
                <c:pt idx="4">
                  <c:v>Слободзея</c:v>
                </c:pt>
                <c:pt idx="5">
                  <c:v>Григориополь</c:v>
                </c:pt>
                <c:pt idx="6">
                  <c:v>Рыбница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3241</c:v>
                </c:pt>
                <c:pt idx="1">
                  <c:v>2596</c:v>
                </c:pt>
                <c:pt idx="2">
                  <c:v>1867</c:v>
                </c:pt>
                <c:pt idx="3">
                  <c:v>2121</c:v>
                </c:pt>
                <c:pt idx="4">
                  <c:v>2248</c:v>
                </c:pt>
                <c:pt idx="5">
                  <c:v>1401</c:v>
                </c:pt>
                <c:pt idx="6">
                  <c:v>1941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83355966311715113"/>
          <c:y val="0.47382565551399097"/>
          <c:w val="0.16628054445885937"/>
          <c:h val="0.52602087529756469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  <a:effectLst>
      <a:glow>
        <a:schemeClr val="accent1"/>
      </a:glow>
    </a:effectLst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показателей  доходов, расходов и дефицита средств Фонда за период 2012-2014 годы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(без учета гуманитарной помощи РФ)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0061748379013598"/>
          <c:y val="0.26291798825687246"/>
          <c:w val="0.74818096954060909"/>
          <c:h val="0.655600631979647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доходы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Лист1!$A$4:$A$6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Лист1!$B$4:$B$6</c:f>
              <c:numCache>
                <c:formatCode>#,##0</c:formatCode>
                <c:ptCount val="3"/>
                <c:pt idx="0">
                  <c:v>1498</c:v>
                </c:pt>
                <c:pt idx="1">
                  <c:v>1720</c:v>
                </c:pt>
                <c:pt idx="2">
                  <c:v>1827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расходы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Лист1!$A$4:$A$6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Лист1!$C$4:$C$6</c:f>
              <c:numCache>
                <c:formatCode>#,##0</c:formatCode>
                <c:ptCount val="3"/>
                <c:pt idx="0">
                  <c:v>2574</c:v>
                </c:pt>
                <c:pt idx="1">
                  <c:v>2653</c:v>
                </c:pt>
                <c:pt idx="2">
                  <c:v>2812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дефицит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Лист1!$A$4:$A$6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Лист1!$D$4:$D$6</c:f>
              <c:numCache>
                <c:formatCode>#,##0</c:formatCode>
                <c:ptCount val="3"/>
                <c:pt idx="0">
                  <c:v>1103</c:v>
                </c:pt>
                <c:pt idx="1">
                  <c:v>961</c:v>
                </c:pt>
                <c:pt idx="2">
                  <c:v>1006</c:v>
                </c:pt>
              </c:numCache>
            </c:numRef>
          </c:val>
        </c:ser>
        <c:axId val="74938624"/>
        <c:axId val="102920192"/>
      </c:barChart>
      <c:catAx>
        <c:axId val="749386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920192"/>
        <c:crosses val="autoZero"/>
        <c:auto val="1"/>
        <c:lblAlgn val="ctr"/>
        <c:lblOffset val="100"/>
      </c:catAx>
      <c:valAx>
        <c:axId val="102920192"/>
        <c:scaling>
          <c:orientation val="minMax"/>
        </c:scaling>
        <c:delete val="1"/>
        <c:axPos val="l"/>
        <c:numFmt formatCode="#,##0" sourceLinked="1"/>
        <c:tickLblPos val="none"/>
        <c:crossAx val="74938624"/>
        <c:crosses val="autoZero"/>
        <c:crossBetween val="between"/>
      </c:valAx>
    </c:plotArea>
    <c:legend>
      <c:legendPos val="r"/>
    </c:legend>
    <c:plotVisOnly val="1"/>
    <c:dispBlanksAs val="gap"/>
  </c:chart>
  <c:spPr>
    <a:ln w="0">
      <a:noFill/>
    </a:ln>
  </c:spPr>
  <c:externalData r:id="rId1"/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движения документооборота Единого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государственного фонда социального страхования ПМР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за период 2012-2014 годы</a:t>
            </a:r>
          </a:p>
        </c:rich>
      </c:tx>
      <c:layout>
        <c:manualLayout>
          <c:xMode val="edge"/>
          <c:yMode val="edge"/>
          <c:x val="0.10506931218291909"/>
          <c:y val="2.0884093282283352E-2"/>
        </c:manualLayout>
      </c:layout>
    </c:title>
    <c:plotArea>
      <c:layout>
        <c:manualLayout>
          <c:layoutTarget val="inner"/>
          <c:xMode val="edge"/>
          <c:yMode val="edge"/>
          <c:x val="0.10061748379013598"/>
          <c:y val="0.26291798825687002"/>
          <c:w val="0.75458496816562759"/>
          <c:h val="0.65859906651940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2012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Лист1!$A$4:$A$6</c:f>
              <c:strCache>
                <c:ptCount val="3"/>
                <c:pt idx="0">
                  <c:v>Входящие</c:v>
                </c:pt>
                <c:pt idx="1">
                  <c:v>Исходящие</c:v>
                </c:pt>
                <c:pt idx="2">
                  <c:v>Иные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 formatCode="#,##0">
                  <c:v>2954</c:v>
                </c:pt>
                <c:pt idx="1">
                  <c:v>3821</c:v>
                </c:pt>
                <c:pt idx="2">
                  <c:v>851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2013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Лист1!$A$4:$A$6</c:f>
              <c:strCache>
                <c:ptCount val="3"/>
                <c:pt idx="0">
                  <c:v>Входящие</c:v>
                </c:pt>
                <c:pt idx="1">
                  <c:v>Исходящие</c:v>
                </c:pt>
                <c:pt idx="2">
                  <c:v>Иные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 formatCode="#,##0">
                  <c:v>2758</c:v>
                </c:pt>
                <c:pt idx="1">
                  <c:v>3595</c:v>
                </c:pt>
                <c:pt idx="2">
                  <c:v>865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Лист1!$A$4:$A$6</c:f>
              <c:strCache>
                <c:ptCount val="3"/>
                <c:pt idx="0">
                  <c:v>Входящие</c:v>
                </c:pt>
                <c:pt idx="1">
                  <c:v>Исходящие</c:v>
                </c:pt>
                <c:pt idx="2">
                  <c:v>Иные</c:v>
                </c:pt>
              </c:strCache>
            </c:strRef>
          </c:cat>
          <c:val>
            <c:numRef>
              <c:f>Лист1!$D$4:$D$6</c:f>
              <c:numCache>
                <c:formatCode>#,##0</c:formatCode>
                <c:ptCount val="3"/>
                <c:pt idx="0">
                  <c:v>3810</c:v>
                </c:pt>
                <c:pt idx="1">
                  <c:v>4518</c:v>
                </c:pt>
                <c:pt idx="2">
                  <c:v>892</c:v>
                </c:pt>
              </c:numCache>
            </c:numRef>
          </c:val>
        </c:ser>
        <c:axId val="126813696"/>
        <c:axId val="126815232"/>
      </c:barChart>
      <c:catAx>
        <c:axId val="1268136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6815232"/>
        <c:crosses val="autoZero"/>
        <c:auto val="1"/>
        <c:lblAlgn val="ctr"/>
        <c:lblOffset val="100"/>
      </c:catAx>
      <c:valAx>
        <c:axId val="126815232"/>
        <c:scaling>
          <c:orientation val="minMax"/>
        </c:scaling>
        <c:delete val="1"/>
        <c:axPos val="l"/>
        <c:numFmt formatCode="#,##0" sourceLinked="1"/>
        <c:tickLblPos val="none"/>
        <c:crossAx val="126813696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 w="0">
      <a:noFill/>
    </a:ln>
  </c:sp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+mn-lt"/>
              </a:defRPr>
            </a:pPr>
            <a:r>
              <a:rPr lang="ru-RU">
                <a:latin typeface="+mn-lt"/>
              </a:rPr>
              <a:t>Структура расходов Единого государственного фонда социального страхования за 2014 год   (млн.руб)</a:t>
            </a:r>
          </a:p>
        </c:rich>
      </c:tx>
      <c:layout>
        <c:manualLayout>
          <c:xMode val="edge"/>
          <c:yMode val="edge"/>
          <c:x val="0.11644923268745228"/>
          <c:y val="4.6136992851859591E-2"/>
        </c:manualLayout>
      </c:layout>
    </c:title>
    <c:plotArea>
      <c:layout>
        <c:manualLayout>
          <c:layoutTarget val="inner"/>
          <c:xMode val="edge"/>
          <c:yMode val="edge"/>
          <c:x val="9.730927218593137E-2"/>
          <c:y val="0.33160736983957256"/>
          <c:w val="0.30793878697467297"/>
          <c:h val="0.616805226275634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Единого государственного фонда социального страхования за 2014 год (млн.руб)</c:v>
                </c:pt>
              </c:strCache>
            </c:strRef>
          </c:tx>
          <c:dLbls>
            <c:dLbl>
              <c:idx val="0"/>
              <c:layout>
                <c:manualLayout>
                  <c:x val="-0.14813299896633281"/>
                  <c:y val="-5.228080528292274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</a:t>
                    </a:r>
                    <a:r>
                      <a:rPr lang="en-US"/>
                      <a:t>,7</a:t>
                    </a:r>
                    <a:r>
                      <a:rPr lang="ru-RU"/>
                      <a:t>%</a:t>
                    </a:r>
                  </a:p>
                  <a:p>
                    <a:r>
                      <a:rPr lang="ru-RU"/>
                      <a:t>страхование безработицы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4750311295264002E-2"/>
                  <c:y val="-5.632250624668247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</a:t>
                    </a:r>
                    <a:r>
                      <a:rPr lang="en-US"/>
                      <a:t>,0</a:t>
                    </a:r>
                    <a:r>
                      <a:rPr lang="ru-RU"/>
                      <a:t>%</a:t>
                    </a:r>
                  </a:p>
                  <a:p>
                    <a:r>
                      <a:rPr lang="ru-RU"/>
                      <a:t>государственное социальноу страхование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8.0886576829452647E-2"/>
                  <c:y val="-5.41863877536493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,5</a:t>
                    </a:r>
                    <a:r>
                      <a:rPr lang="ru-RU"/>
                      <a:t>%</a:t>
                    </a:r>
                  </a:p>
                  <a:p>
                    <a:r>
                      <a:rPr lang="ru-RU"/>
                      <a:t>гарантированные государством</a:t>
                    </a:r>
                    <a:r>
                      <a:rPr lang="ru-RU" baseline="0"/>
                      <a:t> пособия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.21634960759194488"/>
                  <c:y val="0.13124795427197641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,7</a:t>
                    </a:r>
                    <a:r>
                      <a:rPr lang="ru-RU"/>
                      <a:t>%</a:t>
                    </a:r>
                  </a:p>
                  <a:p>
                    <a:r>
                      <a:rPr lang="ru-RU"/>
                      <a:t> выплаты, возмещаемые ресбюджетом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0.12156262251345522"/>
                  <c:y val="0.1727046588266489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</a:t>
                    </a:r>
                    <a:r>
                      <a:rPr lang="en-US"/>
                      <a:t>,8</a:t>
                    </a:r>
                    <a:r>
                      <a:rPr lang="ru-RU"/>
                      <a:t>% </a:t>
                    </a:r>
                  </a:p>
                  <a:p>
                    <a:r>
                      <a:rPr lang="ru-RU"/>
                      <a:t>дирекция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-6.3446124464096393E-2"/>
                  <c:y val="-6.8887836160108932E-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en-US"/>
                      <a:t>9,2</a:t>
                    </a:r>
                    <a:r>
                      <a:rPr lang="ru-RU"/>
                      <a:t>%</a:t>
                    </a:r>
                  </a:p>
                  <a:p>
                    <a:r>
                      <a:rPr lang="ru-RU"/>
                      <a:t>пенсионное обеспечение</a:t>
                    </a:r>
                  </a:p>
                  <a:p>
                    <a:r>
                      <a:rPr lang="ru-RU"/>
                      <a:t>(без гум.п.РФ)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страхование безработицы                      20,3 млн.руб</c:v>
                </c:pt>
                <c:pt idx="1">
                  <c:v>государственное социальное страхование                                             170,1 млн.руб.</c:v>
                </c:pt>
                <c:pt idx="2">
                  <c:v>гарантированные государством пособия                                                                42,3 млн.руб</c:v>
                </c:pt>
                <c:pt idx="3">
                  <c:v>выплаты, возмещаемые республикански бюджетом                             49,1 млн.руб</c:v>
                </c:pt>
                <c:pt idx="4">
                  <c:v>дирекция     22,8 млн.руб</c:v>
                </c:pt>
                <c:pt idx="5">
                  <c:v>пенсионное обеспечение                                                                      2 507,7 млн.руб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0.70000000000000062</c:v>
                </c:pt>
                <c:pt idx="1">
                  <c:v>6</c:v>
                </c:pt>
                <c:pt idx="2">
                  <c:v>1.5</c:v>
                </c:pt>
                <c:pt idx="3">
                  <c:v>1.7</c:v>
                </c:pt>
                <c:pt idx="4">
                  <c:v>0.8</c:v>
                </c:pt>
                <c:pt idx="5">
                  <c:v>89.2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Численность получателей  по видам  пенсий</a:t>
            </a:r>
          </a:p>
        </c:rich>
      </c:tx>
      <c:layout>
        <c:manualLayout>
          <c:xMode val="edge"/>
          <c:yMode val="edge"/>
          <c:x val="0.33389427283128098"/>
          <c:y val="1.5368232772210635E-3"/>
        </c:manualLayout>
      </c:layout>
      <c:overlay val="1"/>
    </c:title>
    <c:view3D>
      <c:rotX val="0"/>
      <c:rotY val="0"/>
      <c:depthPercent val="100"/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7.9496037260048437E-4"/>
          <c:y val="5.5488398457235112E-2"/>
          <c:w val="0.9992050396273997"/>
          <c:h val="0.5063285986921177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2012 год</c:v>
                </c:pt>
              </c:strCache>
            </c:strRef>
          </c:tx>
          <c:dLbls>
            <c:dLbl>
              <c:idx val="0"/>
              <c:layout>
                <c:manualLayout>
                  <c:x val="-1.3621918583706449E-4"/>
                  <c:y val="0.23986293546544851"/>
                </c:manualLayout>
              </c:layout>
              <c:showVal val="1"/>
            </c:dLbl>
            <c:dLbl>
              <c:idx val="1"/>
              <c:layout>
                <c:manualLayout>
                  <c:x val="8.1697738150379191E-3"/>
                  <c:y val="0.22843575469237634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0.247619047619047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4128</a:t>
                    </a:r>
                    <a:r>
                      <a:rPr lang="en-US"/>
                      <a:t>8</a:t>
                    </a:r>
                  </a:p>
                </c:rich>
              </c:tx>
            </c:dLbl>
            <c:numFmt formatCode="#,##0" sourceLinked="0"/>
            <c:txPr>
              <a:bodyPr/>
              <a:lstStyle/>
              <a:p>
                <a:pPr>
                  <a:defRPr sz="1097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численность получателей трудовых пенсий</c:v>
                </c:pt>
                <c:pt idx="1">
                  <c:v>численность получателей социальных пенсий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134767</c:v>
                </c:pt>
                <c:pt idx="1">
                  <c:v>4405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2013 год</c:v>
                </c:pt>
              </c:strCache>
            </c:strRef>
          </c:tx>
          <c:dLbls>
            <c:dLbl>
              <c:idx val="0"/>
              <c:layout>
                <c:manualLayout>
                  <c:x val="-2.0805120514774964E-3"/>
                  <c:y val="0.21429875928436862"/>
                </c:manualLayout>
              </c:layout>
              <c:showVal val="1"/>
            </c:dLbl>
            <c:dLbl>
              <c:idx val="1"/>
              <c:layout>
                <c:manualLayout>
                  <c:x val="-5.7306040538754963E-3"/>
                  <c:y val="0.19964828571077894"/>
                </c:manualLayout>
              </c:layout>
              <c:showVal val="1"/>
            </c:dLbl>
            <c:dLbl>
              <c:idx val="2"/>
              <c:layout>
                <c:manualLayout>
                  <c:x val="-1.8924732464633497E-3"/>
                  <c:y val="0.29841269841269874"/>
                </c:manualLayout>
              </c:layout>
              <c:showVal val="1"/>
            </c:dLbl>
            <c:numFmt formatCode="#,##0" sourceLinked="0"/>
            <c:txPr>
              <a:bodyPr/>
              <a:lstStyle/>
              <a:p>
                <a:pPr>
                  <a:defRPr sz="1097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численность получателей трудовых пенсий</c:v>
                </c:pt>
                <c:pt idx="1">
                  <c:v>численность получателей социальных пенсий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136404</c:v>
                </c:pt>
                <c:pt idx="1">
                  <c:v>4394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2014 год</c:v>
                </c:pt>
              </c:strCache>
            </c:strRef>
          </c:tx>
          <c:dLbls>
            <c:dLbl>
              <c:idx val="0"/>
              <c:layout>
                <c:manualLayout>
                  <c:x val="1.2255446432332222E-3"/>
                  <c:y val="0.19310761845033064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196" b="1">
                        <a:solidFill>
                          <a:schemeClr val="accent3">
                            <a:lumMod val="50000"/>
                          </a:schemeClr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36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 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9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8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7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numFmt formatCode="#,##0" sourceLinked="0"/>
              <c:spPr/>
              <c:showVal val="1"/>
            </c:dLbl>
            <c:dLbl>
              <c:idx val="1"/>
              <c:layout>
                <c:manualLayout>
                  <c:x val="4.1714100745078074E-3"/>
                  <c:y val="0.1639215729188277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136987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4301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96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численность получателей трудовых пенсий</c:v>
                </c:pt>
                <c:pt idx="1">
                  <c:v>численность получателей социальных пенсий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136987</c:v>
                </c:pt>
                <c:pt idx="1">
                  <c:v>4301</c:v>
                </c:pt>
              </c:numCache>
            </c:numRef>
          </c:val>
        </c:ser>
        <c:shape val="cylinder"/>
        <c:axId val="123876864"/>
        <c:axId val="123878400"/>
        <c:axId val="0"/>
      </c:bar3DChart>
      <c:catAx>
        <c:axId val="1238768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878400"/>
        <c:crosses val="autoZero"/>
        <c:auto val="1"/>
        <c:lblAlgn val="ctr"/>
        <c:lblOffset val="100"/>
      </c:catAx>
      <c:valAx>
        <c:axId val="123878400"/>
        <c:scaling>
          <c:orientation val="minMax"/>
          <c:min val="0"/>
        </c:scaling>
        <c:delete val="1"/>
        <c:axPos val="l"/>
        <c:numFmt formatCode="General" sourceLinked="1"/>
        <c:tickLblPos val="nextTo"/>
        <c:crossAx val="123876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922739720507418E-2"/>
          <c:y val="0.7150840453710271"/>
          <c:w val="0.97239530051139289"/>
          <c:h val="0.16974840430020943"/>
        </c:manualLayout>
      </c:layout>
      <c:txPr>
        <a:bodyPr/>
        <a:lstStyle/>
        <a:p>
          <a:pPr>
            <a:defRPr sz="798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Рост размеров пенсии и прожиточного минимума пенсионера</a:t>
            </a:r>
          </a:p>
        </c:rich>
      </c:tx>
    </c:title>
    <c:plotArea>
      <c:layout>
        <c:manualLayout>
          <c:layoutTarget val="inner"/>
          <c:xMode val="edge"/>
          <c:yMode val="edge"/>
          <c:x val="4.8264643929381894E-2"/>
          <c:y val="0.16546622083198542"/>
          <c:w val="0.95173541251288141"/>
          <c:h val="0.75238370546147482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прожиточный минимум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1.4445163543137147E-2"/>
                  <c:y val="-3.042327883893268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0317973959383579E-2"/>
                  <c:y val="-3.802909854866588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7.5664268288732236E-17"/>
                  <c:y val="-4.183200840353245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8890327086274516E-2"/>
                  <c:y val="-4.9437828113265588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Лист1!$B$2:$D$2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962.88</c:v>
                </c:pt>
                <c:pt idx="1">
                  <c:v>1021.9399999999994</c:v>
                </c:pt>
                <c:pt idx="2">
                  <c:v>1095.57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максимальная пенсия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square"/>
            <c:size val="6"/>
            <c:spPr>
              <a:ln>
                <a:solidFill>
                  <a:schemeClr val="tx2"/>
                </a:solidFill>
              </a:ln>
            </c:spPr>
          </c:marker>
          <c:dPt>
            <c:idx val="0"/>
            <c:marker>
              <c:spPr>
                <a:solidFill>
                  <a:schemeClr val="tx2"/>
                </a:solidFill>
                <a:ln>
                  <a:solidFill>
                    <a:schemeClr val="tx2"/>
                  </a:solidFill>
                </a:ln>
              </c:spPr>
            </c:marker>
          </c:dPt>
          <c:dPt>
            <c:idx val="1"/>
            <c:marker>
              <c:spPr>
                <a:solidFill>
                  <a:schemeClr val="tx2"/>
                </a:solidFill>
                <a:ln>
                  <a:solidFill>
                    <a:schemeClr val="tx2"/>
                  </a:solidFill>
                </a:ln>
              </c:spPr>
            </c:marker>
          </c:dPt>
          <c:dPt>
            <c:idx val="2"/>
            <c:marker>
              <c:spPr>
                <a:solidFill>
                  <a:schemeClr val="tx2"/>
                </a:solidFill>
                <a:ln>
                  <a:solidFill>
                    <a:schemeClr val="tx2"/>
                  </a:solidFill>
                </a:ln>
              </c:spPr>
            </c:marker>
          </c:dPt>
          <c:dLbls>
            <c:dLbl>
              <c:idx val="0"/>
              <c:layout>
                <c:manualLayout>
                  <c:x val="-3.0953921878150752E-2"/>
                  <c:y val="-4.563491825839904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1271895837534316E-2"/>
                  <c:y val="-4.183200840353245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6826732294397384E-2"/>
                  <c:y val="-4.943782811326571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2699542710644317E-2"/>
                  <c:y val="-6.0846557677865371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3366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Лист1!$B$2:$D$2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1370.75</c:v>
                </c:pt>
                <c:pt idx="1">
                  <c:v>1498.02</c:v>
                </c:pt>
                <c:pt idx="2">
                  <c:v>1520.3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средняя пенсия</c:v>
                </c:pt>
              </c:strCache>
            </c:strRef>
          </c:tx>
          <c:dLbls>
            <c:dLbl>
              <c:idx val="0"/>
              <c:layout>
                <c:manualLayout>
                  <c:x val="-1.4445163543137147E-2"/>
                  <c:y val="-3.42261886937992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0317973959383579E-2"/>
                  <c:y val="-3.042327883893268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7.5664268288732236E-17"/>
                  <c:y val="-3.042327883893268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271895837534317E-3"/>
                  <c:y val="-3.0423278838932689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3333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Лист1!$B$2:$D$2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1221.29</c:v>
                </c:pt>
                <c:pt idx="1">
                  <c:v>1330.85</c:v>
                </c:pt>
                <c:pt idx="2">
                  <c:v>1350.41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минимальная пенсия</c:v>
                </c:pt>
              </c:strCache>
            </c:strRef>
          </c:tx>
          <c:dLbls>
            <c:dLbl>
              <c:idx val="0"/>
              <c:layout>
                <c:manualLayout>
                  <c:x val="2.063594791876777E-3"/>
                  <c:y val="-3.042327883893268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0"/>
                  <c:y val="-3.802909854866588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0635947918768525E-3"/>
                  <c:y val="-3.802909854866588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2699542710644317E-2"/>
                  <c:y val="-2.281745912919955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666699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Лист1!$B$2:$D$2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553</c:v>
                </c:pt>
                <c:pt idx="1">
                  <c:v>598</c:v>
                </c:pt>
                <c:pt idx="2">
                  <c:v>606</c:v>
                </c:pt>
              </c:numCache>
            </c:numRef>
          </c:val>
        </c:ser>
        <c:marker val="1"/>
        <c:axId val="125034496"/>
        <c:axId val="125036032"/>
      </c:lineChart>
      <c:catAx>
        <c:axId val="1250344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036032"/>
        <c:crosses val="autoZero"/>
        <c:auto val="1"/>
        <c:lblAlgn val="ctr"/>
        <c:lblOffset val="100"/>
      </c:catAx>
      <c:valAx>
        <c:axId val="125036032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18">
            <a:noFill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034496"/>
        <c:crosses val="autoZero"/>
        <c:crossBetween val="between"/>
      </c:valAx>
      <c:spPr>
        <a:ln>
          <a:noFill/>
        </a:ln>
      </c:spPr>
    </c:plotArea>
    <c:plotVisOnly val="1"/>
    <c:dispBlanksAs val="gap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расходов по обеспечению выплат по социальному страхованию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расходов, млн.руб.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116.9</c:v>
                </c:pt>
                <c:pt idx="1">
                  <c:v>130.1</c:v>
                </c:pt>
                <c:pt idx="2">
                  <c:v>141.9</c:v>
                </c:pt>
              </c:numCache>
            </c:numRef>
          </c:val>
        </c:ser>
        <c:axId val="124948480"/>
        <c:axId val="124950016"/>
      </c:barChart>
      <c:catAx>
        <c:axId val="124948480"/>
        <c:scaling>
          <c:orientation val="minMax"/>
        </c:scaling>
        <c:axPos val="b"/>
        <c:numFmt formatCode="General" sourceLinked="1"/>
        <c:tickLblPos val="nextTo"/>
        <c:crossAx val="124950016"/>
        <c:crosses val="autoZero"/>
        <c:auto val="1"/>
        <c:lblAlgn val="ctr"/>
        <c:lblOffset val="100"/>
      </c:catAx>
      <c:valAx>
        <c:axId val="124950016"/>
        <c:scaling>
          <c:orientation val="minMax"/>
        </c:scaling>
        <c:axPos val="l"/>
        <c:numFmt formatCode="#,##0.0" sourceLinked="1"/>
        <c:tickLblPos val="nextTo"/>
        <c:crossAx val="124948480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effectLst/>
              </a:rPr>
              <a:t>Динамика роста средних  размеров пособий  по социальному страхованию, руб.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8290053807894371"/>
          <c:y val="2.2044165300451812E-3"/>
        </c:manualLayout>
      </c:layout>
    </c:title>
    <c:plotArea>
      <c:layout>
        <c:manualLayout>
          <c:layoutTarget val="inner"/>
          <c:xMode val="edge"/>
          <c:yMode val="edge"/>
          <c:x val="0.40369404345290172"/>
          <c:y val="0.15873015873015894"/>
          <c:w val="0.37979677019539232"/>
          <c:h val="0.741858517685300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Пособие по временной нетрудоспособности</c:v>
                </c:pt>
                <c:pt idx="1">
                  <c:v>Пособие по уходу до 1,5 лет</c:v>
                </c:pt>
                <c:pt idx="2">
                  <c:v>Пособие по беременности и родам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699.7</c:v>
                </c:pt>
                <c:pt idx="1">
                  <c:v>827.47</c:v>
                </c:pt>
                <c:pt idx="2">
                  <c:v>10196.19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Пособие по временной нетрудоспособности</c:v>
                </c:pt>
                <c:pt idx="1">
                  <c:v>Пособие по уходу до 1,5 лет</c:v>
                </c:pt>
                <c:pt idx="2">
                  <c:v>Пособие по беременности и родам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755.85999999999876</c:v>
                </c:pt>
                <c:pt idx="1">
                  <c:v>946.69</c:v>
                </c:pt>
                <c:pt idx="2">
                  <c:v>11755.08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Пособие по временной нетрудоспособности</c:v>
                </c:pt>
                <c:pt idx="1">
                  <c:v>Пособие по уходу до 1,5 лет</c:v>
                </c:pt>
                <c:pt idx="2">
                  <c:v>Пособие по беременности и родам</c:v>
                </c:pt>
              </c:strCache>
            </c:str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835.29000000000053</c:v>
                </c:pt>
                <c:pt idx="1">
                  <c:v>983.24</c:v>
                </c:pt>
                <c:pt idx="2">
                  <c:v>13339.26</c:v>
                </c:pt>
              </c:numCache>
            </c:numRef>
          </c:val>
        </c:ser>
        <c:axId val="125392000"/>
        <c:axId val="125393536"/>
      </c:barChart>
      <c:catAx>
        <c:axId val="125392000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5393536"/>
        <c:crosses val="autoZero"/>
        <c:auto val="1"/>
        <c:lblAlgn val="ctr"/>
        <c:lblOffset val="100"/>
      </c:catAx>
      <c:valAx>
        <c:axId val="125393536"/>
        <c:scaling>
          <c:orientation val="minMax"/>
        </c:scaling>
        <c:axPos val="b"/>
        <c:numFmt formatCode="#,##0.00" sourceLinked="1"/>
        <c:tickLblPos val="nextTo"/>
        <c:crossAx val="1253920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Гарантированные государством пособия по материнству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9.8981822959413976E-2"/>
          <c:y val="0.20844630388860164"/>
          <c:w val="0.72326880625464363"/>
          <c:h val="0.639106512587994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(тыс.руб)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38188.199999999997</c:v>
                </c:pt>
                <c:pt idx="1">
                  <c:v>40807.599999999999</c:v>
                </c:pt>
                <c:pt idx="2">
                  <c:v>42291.7</c:v>
                </c:pt>
              </c:numCache>
            </c:numRef>
          </c:val>
        </c:ser>
        <c:axId val="125434496"/>
        <c:axId val="125108608"/>
      </c:barChart>
      <c:catAx>
        <c:axId val="125434496"/>
        <c:scaling>
          <c:orientation val="minMax"/>
        </c:scaling>
        <c:axPos val="b"/>
        <c:numFmt formatCode="General" sourceLinked="1"/>
        <c:tickLblPos val="nextTo"/>
        <c:crossAx val="125108608"/>
        <c:crosses val="autoZero"/>
        <c:auto val="1"/>
        <c:lblAlgn val="ctr"/>
        <c:lblOffset val="100"/>
      </c:catAx>
      <c:valAx>
        <c:axId val="125108608"/>
        <c:scaling>
          <c:orientation val="minMax"/>
        </c:scaling>
        <c:delete val="1"/>
        <c:axPos val="l"/>
        <c:numFmt formatCode="#,##0.00" sourceLinked="1"/>
        <c:tickLblPos val="none"/>
        <c:crossAx val="12543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7266215406588"/>
          <c:y val="0.41778896880916216"/>
          <c:w val="0.15515548226670944"/>
          <c:h val="0.12942422308065218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effectLst/>
              </a:rPr>
              <a:t>Динамика роста средних размеров  гарантированных пособий по материнству, руб.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8290053807894371"/>
          <c:y val="2.2044165300451812E-3"/>
        </c:manualLayout>
      </c:layout>
    </c:title>
    <c:plotArea>
      <c:layout>
        <c:manualLayout>
          <c:layoutTarget val="inner"/>
          <c:xMode val="edge"/>
          <c:yMode val="edge"/>
          <c:x val="0.40369404345290172"/>
          <c:y val="0.15873015873015894"/>
          <c:w val="0.37979677019539232"/>
          <c:h val="0.741858517685300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Единовременное пособие при рождении ребенка</c:v>
                </c:pt>
                <c:pt idx="1">
                  <c:v>Ежемесячное пособие до 1,5 лет гражданам не подлежащим обязательному соц. страх</c:v>
                </c:pt>
                <c:pt idx="2">
                  <c:v>Ежемесячное пособие до 1,5 лет неработающим, обучающимся на заочной форме обучения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1612.8</c:v>
                </c:pt>
                <c:pt idx="1">
                  <c:v>924</c:v>
                </c:pt>
                <c:pt idx="2">
                  <c:v>294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Единовременное пособие при рождении ребенка</c:v>
                </c:pt>
                <c:pt idx="1">
                  <c:v>Ежемесячное пособие до 1,5 лет гражданам не подлежащим обязательному соц. страх</c:v>
                </c:pt>
                <c:pt idx="2">
                  <c:v>Ежемесячное пособие до 1,5 лет неработающим, обучающимся на заочной форме обучения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1747.2</c:v>
                </c:pt>
                <c:pt idx="1">
                  <c:v>1001</c:v>
                </c:pt>
                <c:pt idx="2">
                  <c:v>318.5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Единовременное пособие при рождении ребенка</c:v>
                </c:pt>
                <c:pt idx="1">
                  <c:v>Ежемесячное пособие до 1,5 лет гражданам не подлежащим обязательному соц. страх</c:v>
                </c:pt>
                <c:pt idx="2">
                  <c:v>Ежемесячное пособие до 1,5 лет неработающим, обучающимся на заочной форме обучения</c:v>
                </c:pt>
              </c:strCache>
            </c:str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1824</c:v>
                </c:pt>
                <c:pt idx="1">
                  <c:v>1045</c:v>
                </c:pt>
                <c:pt idx="2">
                  <c:v>332.5</c:v>
                </c:pt>
              </c:numCache>
            </c:numRef>
          </c:val>
        </c:ser>
        <c:axId val="125131392"/>
        <c:axId val="125571456"/>
      </c:barChart>
      <c:catAx>
        <c:axId val="12513139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5571456"/>
        <c:crosses val="autoZero"/>
        <c:auto val="1"/>
        <c:lblAlgn val="ctr"/>
        <c:lblOffset val="100"/>
      </c:catAx>
      <c:valAx>
        <c:axId val="125571456"/>
        <c:scaling>
          <c:orientation val="minMax"/>
        </c:scaling>
        <c:axPos val="b"/>
        <c:numFmt formatCode="#,##0.00" sourceLinked="1"/>
        <c:tickLblPos val="nextTo"/>
        <c:crossAx val="125131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0.8714</cdr:x>
      <cdr:y>0.18375</cdr:y>
    </cdr:from>
    <cdr:to>
      <cdr:x>0.98985</cdr:x>
      <cdr:y>0.26446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75767" y="709193"/>
          <a:ext cx="744279" cy="3115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млн.руб.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0.70705</cdr:x>
      <cdr:y>0.46688</cdr:y>
    </cdr:from>
    <cdr:to>
      <cdr:x>0.80365</cdr:x>
      <cdr:y>0.52693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200155" y="1871330"/>
          <a:ext cx="573863" cy="2406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4394</a:t>
          </a:r>
        </a:p>
      </cdr:txBody>
    </cdr:sp>
  </cdr:relSizeAnchor>
  <cdr:relSizeAnchor xmlns:cdr="http://schemas.openxmlformats.org/drawingml/2006/chartDrawing">
    <cdr:from>
      <cdr:x>0.59073</cdr:x>
      <cdr:y>0.46954</cdr:y>
    </cdr:from>
    <cdr:to>
      <cdr:x>0.69268</cdr:x>
      <cdr:y>0.52199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509185" y="1881964"/>
          <a:ext cx="605616" cy="21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4405</a:t>
          </a:r>
        </a:p>
        <a:p xmlns:a="http://schemas.openxmlformats.org/drawingml/2006/main"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0.81439</cdr:x>
      <cdr:y>0.46954</cdr:y>
    </cdr:from>
    <cdr:to>
      <cdr:x>0.92536</cdr:x>
      <cdr:y>0.54381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837814" y="1881963"/>
          <a:ext cx="659218" cy="297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4301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0.26388</cdr:x>
      <cdr:y>0.38369</cdr:y>
    </cdr:from>
    <cdr:to>
      <cdr:x>0.59113</cdr:x>
      <cdr:y>0.45581</cdr:y>
    </cdr:to>
    <cdr:sp macro="" textlink="">
      <cdr:nvSpPr>
        <cdr:cNvPr id="2" name="Поле 1"/>
        <cdr:cNvSpPr txBox="1"/>
      </cdr:nvSpPr>
      <cdr:spPr>
        <a:xfrm xmlns:a="http://schemas.openxmlformats.org/drawingml/2006/main" rot="21392201">
          <a:off x="1782071" y="1333961"/>
          <a:ext cx="2209993" cy="250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прожиточный</a:t>
          </a:r>
          <a:r>
            <a:rPr lang="ru-RU" sz="1100" b="1" baseline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 baseline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минимум</a:t>
          </a:r>
          <a:endParaRPr lang="ru-RU" sz="105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0.25612</cdr:x>
      <cdr:y>0.15157</cdr:y>
    </cdr:from>
    <cdr:to>
      <cdr:x>0.58252</cdr:x>
      <cdr:y>0.23507</cdr:y>
    </cdr:to>
    <cdr:sp macro="" textlink="">
      <cdr:nvSpPr>
        <cdr:cNvPr id="3" name="Поле 2"/>
        <cdr:cNvSpPr txBox="1"/>
      </cdr:nvSpPr>
      <cdr:spPr>
        <a:xfrm xmlns:a="http://schemas.openxmlformats.org/drawingml/2006/main" rot="21192257">
          <a:off x="1729662" y="526966"/>
          <a:ext cx="2204256" cy="290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1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максимальная</a:t>
          </a:r>
          <a:r>
            <a:rPr lang="ru-RU" sz="1100" b="1" baseline="0">
              <a:solidFill>
                <a:schemeClr val="tx2">
                  <a:lumMod val="50000"/>
                </a:schemeClr>
              </a:solidFill>
            </a:rPr>
            <a:t> пенсия</a:t>
          </a:r>
          <a:endParaRPr lang="ru-RU" sz="1100" b="1">
            <a:solidFill>
              <a:schemeClr val="tx2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0.31321</cdr:x>
      <cdr:y>0.233</cdr:y>
    </cdr:from>
    <cdr:to>
      <cdr:x>0.59198</cdr:x>
      <cdr:y>0.309</cdr:y>
    </cdr:to>
    <cdr:sp macro="" textlink="">
      <cdr:nvSpPr>
        <cdr:cNvPr id="4" name="Поле 3"/>
        <cdr:cNvSpPr txBox="1"/>
      </cdr:nvSpPr>
      <cdr:spPr>
        <a:xfrm xmlns:a="http://schemas.openxmlformats.org/drawingml/2006/main" rot="21411035">
          <a:off x="2115185" y="810050"/>
          <a:ext cx="1882596" cy="264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3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средняя</a:t>
          </a:r>
          <a:r>
            <a:rPr lang="ru-RU" sz="1100" b="1" baseline="0">
              <a:solidFill>
                <a:schemeClr val="accent3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 baseline="0">
              <a:solidFill>
                <a:schemeClr val="accent3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пенсия</a:t>
          </a:r>
          <a:endParaRPr lang="ru-RU" sz="1050" b="1">
            <a:solidFill>
              <a:schemeClr val="accent3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0.26056</cdr:x>
      <cdr:y>0.58421</cdr:y>
    </cdr:from>
    <cdr:to>
      <cdr:x>0.56987</cdr:x>
      <cdr:y>0.68197</cdr:y>
    </cdr:to>
    <cdr:sp macro="" textlink="">
      <cdr:nvSpPr>
        <cdr:cNvPr id="5" name="Поле 4"/>
        <cdr:cNvSpPr txBox="1"/>
      </cdr:nvSpPr>
      <cdr:spPr>
        <a:xfrm xmlns:a="http://schemas.openxmlformats.org/drawingml/2006/main" rot="21446244">
          <a:off x="1759600" y="2031090"/>
          <a:ext cx="2088840" cy="3398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800080"/>
              </a:solidFill>
              <a:latin typeface="Times New Roman" pitchFamily="18" charset="0"/>
              <a:cs typeface="Times New Roman" pitchFamily="18" charset="0"/>
            </a:rPr>
            <a:t>минимальная пенсия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0.8714</cdr:x>
      <cdr:y>0.18375</cdr:y>
    </cdr:from>
    <cdr:to>
      <cdr:x>0.98985</cdr:x>
      <cdr:y>0.30771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76486" y="670449"/>
          <a:ext cx="703644" cy="452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кол-во, шт.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CA08B-E5C9-4EC5-8862-8AEE9B0D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19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</dc:creator>
  <cp:keywords/>
  <dc:description/>
  <cp:lastModifiedBy>krotova</cp:lastModifiedBy>
  <cp:revision>50</cp:revision>
  <cp:lastPrinted>2015-02-13T07:21:00Z</cp:lastPrinted>
  <dcterms:created xsi:type="dcterms:W3CDTF">2015-02-12T18:00:00Z</dcterms:created>
  <dcterms:modified xsi:type="dcterms:W3CDTF">2015-02-13T13:46:00Z</dcterms:modified>
</cp:coreProperties>
</file>